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30A0"/>
        <w:tblLook w:val="01E0" w:firstRow="1" w:lastRow="1" w:firstColumn="1" w:lastColumn="1" w:noHBand="0" w:noVBand="0"/>
      </w:tblPr>
      <w:tblGrid>
        <w:gridCol w:w="9019"/>
      </w:tblGrid>
      <w:tr w:rsidR="009057B0" w14:paraId="1623E395" w14:textId="77777777" w:rsidTr="009057B0">
        <w:trPr>
          <w:cantSplit/>
          <w:jc w:val="center"/>
        </w:trPr>
        <w:tc>
          <w:tcPr>
            <w:tcW w:w="9245" w:type="dxa"/>
            <w:shd w:val="clear" w:color="auto" w:fill="7030A0"/>
          </w:tcPr>
          <w:p w14:paraId="5E6AA1ED" w14:textId="77777777" w:rsidR="009057B0" w:rsidRPr="00FA12BC" w:rsidRDefault="009057B0" w:rsidP="009057B0">
            <w:pPr>
              <w:spacing w:before="120" w:after="120"/>
              <w:jc w:val="center"/>
              <w:rPr>
                <w:color w:val="FFFFFF" w:themeColor="background1"/>
                <w:sz w:val="32"/>
                <w:szCs w:val="32"/>
              </w:rPr>
            </w:pPr>
            <w:bookmarkStart w:id="0" w:name="_GoBack"/>
            <w:bookmarkEnd w:id="0"/>
            <w:r w:rsidRPr="00FA12BC">
              <w:rPr>
                <w:color w:val="FFFFFF" w:themeColor="background1"/>
                <w:sz w:val="32"/>
                <w:szCs w:val="32"/>
              </w:rPr>
              <w:t>Safeguarding Adults Practice Guidance</w:t>
            </w:r>
          </w:p>
          <w:p w14:paraId="3BD2F310" w14:textId="77777777" w:rsidR="009057B0" w:rsidRPr="00FA12BC" w:rsidRDefault="00834967" w:rsidP="009057B0">
            <w:pPr>
              <w:spacing w:after="120"/>
              <w:jc w:val="center"/>
              <w:rPr>
                <w:color w:val="FFFFFF" w:themeColor="background1"/>
                <w:sz w:val="44"/>
                <w:szCs w:val="44"/>
              </w:rPr>
            </w:pPr>
            <w:r>
              <w:rPr>
                <w:b/>
                <w:color w:val="FFFFFF" w:themeColor="background1"/>
                <w:sz w:val="44"/>
                <w:szCs w:val="44"/>
              </w:rPr>
              <w:t>Supporting people at risk</w:t>
            </w:r>
          </w:p>
          <w:p w14:paraId="26C39138" w14:textId="77777777" w:rsidR="00834967" w:rsidRPr="00834967" w:rsidRDefault="009057B0" w:rsidP="00834967">
            <w:pPr>
              <w:rPr>
                <w:color w:val="FFFFFF" w:themeColor="background1"/>
                <w:sz w:val="28"/>
                <w:szCs w:val="28"/>
              </w:rPr>
            </w:pPr>
            <w:r w:rsidRPr="00834967">
              <w:rPr>
                <w:color w:val="FFFFFF" w:themeColor="background1"/>
                <w:sz w:val="28"/>
                <w:szCs w:val="28"/>
              </w:rPr>
              <w:t xml:space="preserve">This guidance </w:t>
            </w:r>
            <w:r w:rsidR="00834967" w:rsidRPr="00834967">
              <w:rPr>
                <w:color w:val="FFFFFF" w:themeColor="background1"/>
                <w:sz w:val="28"/>
                <w:szCs w:val="28"/>
              </w:rPr>
              <w:t>explains the different multi-agency systems and processes that exist to su</w:t>
            </w:r>
            <w:r w:rsidR="00834967">
              <w:rPr>
                <w:color w:val="FFFFFF" w:themeColor="background1"/>
                <w:sz w:val="28"/>
                <w:szCs w:val="28"/>
              </w:rPr>
              <w:t>pport people who may be at risk and p</w:t>
            </w:r>
            <w:r w:rsidR="00834967" w:rsidRPr="00834967">
              <w:rPr>
                <w:color w:val="FFFFFF" w:themeColor="background1"/>
                <w:sz w:val="28"/>
                <w:szCs w:val="28"/>
              </w:rPr>
              <w:t>rovide</w:t>
            </w:r>
            <w:r w:rsidR="00834967">
              <w:rPr>
                <w:color w:val="FFFFFF" w:themeColor="background1"/>
                <w:sz w:val="28"/>
                <w:szCs w:val="28"/>
              </w:rPr>
              <w:t>s</w:t>
            </w:r>
            <w:r w:rsidR="00834967" w:rsidRPr="00834967">
              <w:rPr>
                <w:color w:val="FFFFFF" w:themeColor="background1"/>
                <w:sz w:val="28"/>
                <w:szCs w:val="28"/>
              </w:rPr>
              <w:t xml:space="preserve"> clear criteria for referral into these multi-agency systems and processes.</w:t>
            </w:r>
          </w:p>
          <w:p w14:paraId="37A6D41B" w14:textId="77777777" w:rsidR="009057B0" w:rsidRPr="009057B0" w:rsidRDefault="009057B0" w:rsidP="007375AC">
            <w:pPr>
              <w:jc w:val="center"/>
              <w:rPr>
                <w:color w:val="FFFFFF" w:themeColor="background1"/>
                <w:sz w:val="28"/>
                <w:szCs w:val="32"/>
              </w:rPr>
            </w:pPr>
          </w:p>
        </w:tc>
      </w:tr>
    </w:tbl>
    <w:p w14:paraId="79DE8173" w14:textId="77777777" w:rsidR="00592115" w:rsidRDefault="00592115"/>
    <w:p w14:paraId="68190D10" w14:textId="77777777" w:rsidR="00834967" w:rsidRPr="00834967" w:rsidRDefault="00834967" w:rsidP="00834967">
      <w:pPr>
        <w:jc w:val="center"/>
        <w:rPr>
          <w:b/>
          <w:sz w:val="28"/>
        </w:rPr>
      </w:pPr>
    </w:p>
    <w:p w14:paraId="24171B6C" w14:textId="77777777" w:rsidR="00834967" w:rsidRPr="00834967" w:rsidRDefault="00834967" w:rsidP="00834967">
      <w:pPr>
        <w:rPr>
          <w:sz w:val="28"/>
          <w:szCs w:val="22"/>
        </w:rPr>
      </w:pPr>
      <w:r w:rsidRPr="00834967">
        <w:rPr>
          <w:sz w:val="28"/>
          <w:szCs w:val="22"/>
        </w:rPr>
        <w:t xml:space="preserve">Newcastle has good systems and processes in place that help to support people who are at risk of harm. Agencies work together, often with the individual(s) concerned, to share information, identify risk and agree a plan to reduce or manage the risks. </w:t>
      </w:r>
    </w:p>
    <w:p w14:paraId="2583B456" w14:textId="77777777" w:rsidR="00834967" w:rsidRPr="00834967" w:rsidRDefault="00834967" w:rsidP="00834967">
      <w:pPr>
        <w:rPr>
          <w:sz w:val="28"/>
          <w:szCs w:val="22"/>
        </w:rPr>
      </w:pPr>
    </w:p>
    <w:p w14:paraId="48AA0043" w14:textId="77777777" w:rsidR="00834967" w:rsidRPr="00834967" w:rsidRDefault="00834967" w:rsidP="00834967">
      <w:pPr>
        <w:rPr>
          <w:b/>
          <w:sz w:val="28"/>
          <w:szCs w:val="22"/>
        </w:rPr>
      </w:pPr>
      <w:r w:rsidRPr="00834967">
        <w:rPr>
          <w:b/>
          <w:sz w:val="28"/>
          <w:szCs w:val="22"/>
        </w:rPr>
        <w:t xml:space="preserve">By using this </w:t>
      </w:r>
      <w:proofErr w:type="gramStart"/>
      <w:r w:rsidRPr="00834967">
        <w:rPr>
          <w:b/>
          <w:sz w:val="28"/>
          <w:szCs w:val="22"/>
        </w:rPr>
        <w:t>guidance</w:t>
      </w:r>
      <w:proofErr w:type="gramEnd"/>
      <w:r w:rsidRPr="00834967">
        <w:rPr>
          <w:b/>
          <w:sz w:val="28"/>
          <w:szCs w:val="22"/>
        </w:rPr>
        <w:t xml:space="preserve"> it should ensure that:</w:t>
      </w:r>
    </w:p>
    <w:p w14:paraId="3CD8ECF2" w14:textId="77777777" w:rsidR="00834967" w:rsidRPr="00834967" w:rsidRDefault="00834967" w:rsidP="00107991">
      <w:pPr>
        <w:numPr>
          <w:ilvl w:val="0"/>
          <w:numId w:val="3"/>
        </w:numPr>
        <w:tabs>
          <w:tab w:val="clear" w:pos="720"/>
          <w:tab w:val="num" w:pos="330"/>
        </w:tabs>
        <w:ind w:left="330" w:hanging="330"/>
        <w:rPr>
          <w:sz w:val="28"/>
          <w:szCs w:val="22"/>
        </w:rPr>
      </w:pPr>
      <w:r w:rsidRPr="00834967">
        <w:rPr>
          <w:sz w:val="28"/>
          <w:szCs w:val="22"/>
        </w:rPr>
        <w:t>Where there is a concern about an individual, statutory and non-statutory multi-agency processes are considered;</w:t>
      </w:r>
    </w:p>
    <w:p w14:paraId="6906DB40" w14:textId="77777777" w:rsidR="00834967" w:rsidRPr="00834967" w:rsidRDefault="00834967" w:rsidP="00107991">
      <w:pPr>
        <w:numPr>
          <w:ilvl w:val="0"/>
          <w:numId w:val="3"/>
        </w:numPr>
        <w:tabs>
          <w:tab w:val="clear" w:pos="720"/>
          <w:tab w:val="num" w:pos="330"/>
        </w:tabs>
        <w:ind w:left="330" w:hanging="330"/>
        <w:rPr>
          <w:sz w:val="28"/>
          <w:szCs w:val="22"/>
        </w:rPr>
      </w:pPr>
      <w:r w:rsidRPr="00834967">
        <w:rPr>
          <w:sz w:val="28"/>
          <w:szCs w:val="22"/>
        </w:rPr>
        <w:t xml:space="preserve">Information is shared across the different systems/processes where more than one </w:t>
      </w:r>
      <w:proofErr w:type="gramStart"/>
      <w:r w:rsidRPr="00834967">
        <w:rPr>
          <w:sz w:val="28"/>
          <w:szCs w:val="22"/>
        </w:rPr>
        <w:t>criteria</w:t>
      </w:r>
      <w:proofErr w:type="gramEnd"/>
      <w:r w:rsidRPr="00834967">
        <w:rPr>
          <w:sz w:val="28"/>
          <w:szCs w:val="22"/>
        </w:rPr>
        <w:t xml:space="preserve"> apply; </w:t>
      </w:r>
    </w:p>
    <w:p w14:paraId="47161033" w14:textId="77777777" w:rsidR="00834967" w:rsidRPr="00834967" w:rsidRDefault="00834967" w:rsidP="00107991">
      <w:pPr>
        <w:numPr>
          <w:ilvl w:val="0"/>
          <w:numId w:val="3"/>
        </w:numPr>
        <w:tabs>
          <w:tab w:val="clear" w:pos="720"/>
          <w:tab w:val="num" w:pos="330"/>
        </w:tabs>
        <w:ind w:left="330" w:hanging="330"/>
        <w:rPr>
          <w:sz w:val="28"/>
          <w:szCs w:val="22"/>
        </w:rPr>
      </w:pPr>
      <w:r w:rsidRPr="00834967">
        <w:rPr>
          <w:sz w:val="28"/>
          <w:szCs w:val="22"/>
        </w:rPr>
        <w:t>Processes are not duplicated for the same individual/situation.</w:t>
      </w:r>
    </w:p>
    <w:p w14:paraId="34784839" w14:textId="77777777" w:rsidR="00834967" w:rsidRPr="00834967" w:rsidRDefault="00834967" w:rsidP="00834967">
      <w:pPr>
        <w:rPr>
          <w:sz w:val="28"/>
          <w:szCs w:val="22"/>
        </w:rPr>
      </w:pPr>
    </w:p>
    <w:p w14:paraId="0577886E" w14:textId="77777777" w:rsidR="00834967" w:rsidRPr="00834967" w:rsidRDefault="00834967" w:rsidP="00834967">
      <w:pPr>
        <w:rPr>
          <w:sz w:val="28"/>
          <w:szCs w:val="22"/>
        </w:rPr>
      </w:pPr>
      <w:r w:rsidRPr="00834967">
        <w:rPr>
          <w:sz w:val="28"/>
          <w:szCs w:val="22"/>
        </w:rPr>
        <w:t xml:space="preserve">Section 1 (pages </w:t>
      </w:r>
      <w:r>
        <w:rPr>
          <w:sz w:val="28"/>
          <w:szCs w:val="22"/>
        </w:rPr>
        <w:t>3-4</w:t>
      </w:r>
      <w:r w:rsidRPr="00834967">
        <w:rPr>
          <w:sz w:val="28"/>
          <w:szCs w:val="22"/>
        </w:rPr>
        <w:t xml:space="preserve">) details the </w:t>
      </w:r>
      <w:r w:rsidRPr="00834967">
        <w:rPr>
          <w:b/>
          <w:sz w:val="28"/>
          <w:szCs w:val="22"/>
        </w:rPr>
        <w:t>statutory processes</w:t>
      </w:r>
      <w:r w:rsidRPr="00834967">
        <w:rPr>
          <w:sz w:val="28"/>
          <w:szCs w:val="22"/>
        </w:rPr>
        <w:t xml:space="preserve"> that exist to try and reduce risks and prevent harm. Where the criteria apply, these processes should always take precedence. </w:t>
      </w:r>
    </w:p>
    <w:p w14:paraId="55B98FA5" w14:textId="77777777" w:rsidR="00834967" w:rsidRPr="00834967" w:rsidRDefault="00834967" w:rsidP="00834967">
      <w:pPr>
        <w:rPr>
          <w:sz w:val="28"/>
          <w:szCs w:val="22"/>
        </w:rPr>
      </w:pPr>
    </w:p>
    <w:p w14:paraId="4AC882CF" w14:textId="77777777" w:rsidR="00834967" w:rsidRPr="00834967" w:rsidRDefault="00834967" w:rsidP="00834967">
      <w:pPr>
        <w:rPr>
          <w:sz w:val="28"/>
          <w:szCs w:val="22"/>
        </w:rPr>
      </w:pPr>
      <w:r w:rsidRPr="00834967">
        <w:rPr>
          <w:sz w:val="28"/>
          <w:szCs w:val="22"/>
        </w:rPr>
        <w:t xml:space="preserve">Section 2 (pages </w:t>
      </w:r>
      <w:r>
        <w:rPr>
          <w:sz w:val="28"/>
          <w:szCs w:val="22"/>
        </w:rPr>
        <w:t>5-</w:t>
      </w:r>
      <w:r w:rsidR="000D17A1">
        <w:rPr>
          <w:sz w:val="28"/>
          <w:szCs w:val="22"/>
        </w:rPr>
        <w:t>9</w:t>
      </w:r>
      <w:r w:rsidRPr="00834967">
        <w:rPr>
          <w:sz w:val="28"/>
          <w:szCs w:val="22"/>
        </w:rPr>
        <w:t xml:space="preserve">) details other </w:t>
      </w:r>
      <w:r w:rsidRPr="00834967">
        <w:rPr>
          <w:b/>
          <w:sz w:val="28"/>
          <w:szCs w:val="22"/>
        </w:rPr>
        <w:t>non-statutory processes</w:t>
      </w:r>
      <w:r w:rsidRPr="00834967">
        <w:rPr>
          <w:sz w:val="28"/>
          <w:szCs w:val="22"/>
        </w:rPr>
        <w:t xml:space="preserve"> which should be considered should the statutory processes not apply. </w:t>
      </w:r>
    </w:p>
    <w:p w14:paraId="094F1F30" w14:textId="77777777" w:rsidR="00834967" w:rsidRPr="00834967" w:rsidRDefault="00834967" w:rsidP="00834967">
      <w:pPr>
        <w:rPr>
          <w:sz w:val="28"/>
          <w:szCs w:val="22"/>
        </w:rPr>
      </w:pPr>
    </w:p>
    <w:p w14:paraId="3B6C1BB3" w14:textId="77777777" w:rsidR="00834967" w:rsidRPr="00834967" w:rsidRDefault="00834967" w:rsidP="00834967">
      <w:pPr>
        <w:rPr>
          <w:sz w:val="28"/>
          <w:szCs w:val="22"/>
        </w:rPr>
      </w:pPr>
      <w:r w:rsidRPr="00834967">
        <w:rPr>
          <w:sz w:val="28"/>
          <w:szCs w:val="22"/>
        </w:rPr>
        <w:t>Information sharing guidance:</w:t>
      </w:r>
    </w:p>
    <w:p w14:paraId="3D6F82C3" w14:textId="77777777" w:rsidR="00834967" w:rsidRPr="00834967" w:rsidRDefault="00834967" w:rsidP="00107991">
      <w:pPr>
        <w:numPr>
          <w:ilvl w:val="0"/>
          <w:numId w:val="3"/>
        </w:numPr>
        <w:tabs>
          <w:tab w:val="clear" w:pos="720"/>
          <w:tab w:val="num" w:pos="330"/>
        </w:tabs>
        <w:ind w:left="330" w:hanging="330"/>
        <w:rPr>
          <w:sz w:val="28"/>
          <w:szCs w:val="22"/>
        </w:rPr>
      </w:pPr>
      <w:r w:rsidRPr="00834967">
        <w:rPr>
          <w:sz w:val="28"/>
          <w:szCs w:val="22"/>
        </w:rPr>
        <w:t>Share information with consent of the person where appropriate.</w:t>
      </w:r>
    </w:p>
    <w:p w14:paraId="79F8396B" w14:textId="77777777" w:rsidR="00834967" w:rsidRPr="00834967" w:rsidRDefault="00834967" w:rsidP="00107991">
      <w:pPr>
        <w:numPr>
          <w:ilvl w:val="0"/>
          <w:numId w:val="3"/>
        </w:numPr>
        <w:tabs>
          <w:tab w:val="clear" w:pos="720"/>
          <w:tab w:val="num" w:pos="330"/>
        </w:tabs>
        <w:ind w:left="330" w:hanging="330"/>
        <w:rPr>
          <w:sz w:val="28"/>
          <w:szCs w:val="22"/>
        </w:rPr>
      </w:pPr>
      <w:r w:rsidRPr="00834967">
        <w:rPr>
          <w:sz w:val="28"/>
          <w:szCs w:val="22"/>
        </w:rPr>
        <w:t>Consider overriding consent or not seeking consent where: there is a serious risk of harm; it is in the public interest; it is to prevent/detect a crime; or others are at risk.</w:t>
      </w:r>
    </w:p>
    <w:p w14:paraId="42BFC21F" w14:textId="77777777" w:rsidR="00834967" w:rsidRPr="00834967" w:rsidRDefault="00834967" w:rsidP="00107991">
      <w:pPr>
        <w:numPr>
          <w:ilvl w:val="0"/>
          <w:numId w:val="3"/>
        </w:numPr>
        <w:tabs>
          <w:tab w:val="clear" w:pos="720"/>
          <w:tab w:val="num" w:pos="330"/>
        </w:tabs>
        <w:ind w:left="330" w:hanging="330"/>
        <w:rPr>
          <w:sz w:val="28"/>
          <w:szCs w:val="22"/>
        </w:rPr>
      </w:pPr>
      <w:r w:rsidRPr="00834967">
        <w:rPr>
          <w:sz w:val="28"/>
          <w:szCs w:val="22"/>
        </w:rPr>
        <w:t>Data protection should not be a barrier to sharing information to protect a person(s) at risk of harm.</w:t>
      </w:r>
    </w:p>
    <w:p w14:paraId="5186E9AA" w14:textId="77777777" w:rsidR="00834967" w:rsidRPr="00834967" w:rsidRDefault="00834967" w:rsidP="00107991">
      <w:pPr>
        <w:numPr>
          <w:ilvl w:val="0"/>
          <w:numId w:val="3"/>
        </w:numPr>
        <w:tabs>
          <w:tab w:val="clear" w:pos="720"/>
          <w:tab w:val="num" w:pos="330"/>
        </w:tabs>
        <w:ind w:left="330" w:hanging="330"/>
        <w:rPr>
          <w:sz w:val="28"/>
          <w:szCs w:val="22"/>
        </w:rPr>
      </w:pPr>
      <w:r w:rsidRPr="00834967">
        <w:rPr>
          <w:rFonts w:cs="Arial"/>
          <w:sz w:val="28"/>
          <w:szCs w:val="22"/>
        </w:rPr>
        <w:t xml:space="preserve">The circulation of meeting minutes / information will be agreed and recorded at the time of the relevant meeting. This should always include discussion (and record of decision) as to sharing of any information with an alleged victim / perpetrator. This should </w:t>
      </w:r>
      <w:proofErr w:type="gramStart"/>
      <w:r w:rsidRPr="00834967">
        <w:rPr>
          <w:rFonts w:cs="Arial"/>
          <w:sz w:val="28"/>
          <w:szCs w:val="22"/>
        </w:rPr>
        <w:t>take into account</w:t>
      </w:r>
      <w:proofErr w:type="gramEnd"/>
      <w:r w:rsidRPr="00834967">
        <w:rPr>
          <w:rFonts w:cs="Arial"/>
          <w:sz w:val="28"/>
          <w:szCs w:val="22"/>
        </w:rPr>
        <w:t xml:space="preserve"> who owns (the author) of the information and the impact that this might have on the person and others. </w:t>
      </w:r>
    </w:p>
    <w:p w14:paraId="3FBF06C2" w14:textId="77777777" w:rsidR="00834967" w:rsidRPr="00834967" w:rsidRDefault="00834967" w:rsidP="00834967">
      <w:pPr>
        <w:ind w:left="330"/>
        <w:rPr>
          <w:sz w:val="28"/>
          <w:szCs w:val="22"/>
        </w:rPr>
      </w:pPr>
    </w:p>
    <w:p w14:paraId="1E731ED0" w14:textId="77777777" w:rsidR="000D17A1" w:rsidRDefault="000D17A1" w:rsidP="00834967">
      <w:pPr>
        <w:rPr>
          <w:sz w:val="28"/>
          <w:szCs w:val="22"/>
        </w:rPr>
      </w:pPr>
    </w:p>
    <w:p w14:paraId="4171DF57" w14:textId="77777777" w:rsidR="000D17A1" w:rsidRDefault="000D17A1" w:rsidP="00834967">
      <w:pPr>
        <w:rPr>
          <w:sz w:val="28"/>
          <w:szCs w:val="22"/>
        </w:rPr>
      </w:pPr>
    </w:p>
    <w:p w14:paraId="4891D4E9" w14:textId="77777777" w:rsidR="00834967" w:rsidRPr="00834967" w:rsidRDefault="00834967" w:rsidP="00834967">
      <w:pPr>
        <w:rPr>
          <w:sz w:val="28"/>
          <w:szCs w:val="22"/>
        </w:rPr>
      </w:pPr>
      <w:r w:rsidRPr="00834967">
        <w:rPr>
          <w:sz w:val="28"/>
          <w:szCs w:val="22"/>
        </w:rPr>
        <w:lastRenderedPageBreak/>
        <w:t>This document does not detail single-agency responses to support</w:t>
      </w:r>
      <w:r>
        <w:rPr>
          <w:sz w:val="28"/>
          <w:szCs w:val="22"/>
        </w:rPr>
        <w:t xml:space="preserve"> people at risk e</w:t>
      </w:r>
      <w:r w:rsidRPr="00834967">
        <w:rPr>
          <w:sz w:val="28"/>
          <w:szCs w:val="22"/>
        </w:rPr>
        <w:t>.g. assess</w:t>
      </w:r>
      <w:r>
        <w:rPr>
          <w:sz w:val="28"/>
          <w:szCs w:val="22"/>
        </w:rPr>
        <w:t>ment for health or care needs and associated provision of services/support. These are often</w:t>
      </w:r>
      <w:r w:rsidR="000D17A1">
        <w:rPr>
          <w:sz w:val="28"/>
          <w:szCs w:val="22"/>
        </w:rPr>
        <w:t>, and should continue to be,</w:t>
      </w:r>
      <w:r>
        <w:rPr>
          <w:sz w:val="28"/>
          <w:szCs w:val="22"/>
        </w:rPr>
        <w:t xml:space="preserve"> used to support people at risk outside of multi-agency frameworks. </w:t>
      </w:r>
    </w:p>
    <w:p w14:paraId="1DA1D35A" w14:textId="77777777" w:rsidR="00834967" w:rsidRPr="00834967" w:rsidRDefault="00834967" w:rsidP="00834967">
      <w:pPr>
        <w:rPr>
          <w:sz w:val="28"/>
          <w:szCs w:val="22"/>
        </w:rPr>
      </w:pPr>
    </w:p>
    <w:p w14:paraId="6435DBF7" w14:textId="77777777" w:rsidR="000D17A1" w:rsidRDefault="00107991" w:rsidP="00834967">
      <w:pPr>
        <w:rPr>
          <w:sz w:val="28"/>
          <w:szCs w:val="22"/>
        </w:rPr>
      </w:pPr>
      <w:r>
        <w:rPr>
          <w:noProof/>
          <w:sz w:val="28"/>
          <w:szCs w:val="22"/>
          <w:lang w:eastAsia="en-GB"/>
        </w:rPr>
        <mc:AlternateContent>
          <mc:Choice Requires="wps">
            <w:drawing>
              <wp:anchor distT="0" distB="0" distL="114300" distR="114300" simplePos="0" relativeHeight="251659264" behindDoc="0" locked="0" layoutInCell="1" allowOverlap="1" wp14:anchorId="40C3599F" wp14:editId="2151FDCF">
                <wp:simplePos x="0" y="0"/>
                <wp:positionH relativeFrom="column">
                  <wp:posOffset>3803650</wp:posOffset>
                </wp:positionH>
                <wp:positionV relativeFrom="paragraph">
                  <wp:posOffset>324485</wp:posOffset>
                </wp:positionV>
                <wp:extent cx="1466850" cy="342900"/>
                <wp:effectExtent l="0" t="0" r="19050" b="19050"/>
                <wp:wrapNone/>
                <wp:docPr id="21" name="Round Diagonal Corner Rectangle 21"/>
                <wp:cNvGraphicFramePr/>
                <a:graphic xmlns:a="http://schemas.openxmlformats.org/drawingml/2006/main">
                  <a:graphicData uri="http://schemas.microsoft.com/office/word/2010/wordprocessingShape">
                    <wps:wsp>
                      <wps:cNvSpPr/>
                      <wps:spPr>
                        <a:xfrm>
                          <a:off x="0" y="0"/>
                          <a:ext cx="1466850" cy="342900"/>
                        </a:xfrm>
                        <a:prstGeom prst="round2Diag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8AE54" w14:textId="77777777" w:rsidR="00107991" w:rsidRDefault="00107991" w:rsidP="00107991">
                            <w:pPr>
                              <w:jc w:val="center"/>
                            </w:pPr>
                            <w:r>
                              <w:t>Hyperlink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29F405" id="Round Diagonal Corner Rectangle 21" o:spid="_x0000_s1026" style="position:absolute;margin-left:299.5pt;margin-top:25.55pt;width:115.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6685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trwIAANsFAAAOAAAAZHJzL2Uyb0RvYy54bWysVE1v2zAMvQ/YfxB0X+246VdQpwhSdBhQ&#10;tEHboWdFlmIBsqhJSuzs14+SHbdrix2K5aCIJvlIPpG8vOoaTXbCeQWmpJOjnBJhOFTKbEr68+nm&#10;2zklPjBTMQ1GlHQvPL2af/1y2dqZKKAGXQlHEMT4WWtLWodgZ1nmeS0a5o/ACoNKCa5hAUW3ySrH&#10;WkRvdFbk+WnWgqusAy68x6/XvZLOE76Ugod7Kb0IRJcUcwvpdOlcxzObX7LZxjFbKz6kwT6RRcOU&#10;waAj1DULjGydegfVKO7AgwxHHJoMpFRcpBqwmkn+pprHmlmRakFyvB1p8v8Plt/tVo6oqqTFhBLD&#10;GnyjB9iailwrtgHDNFmCM/hGD8glMxstCFoiba31M/R+tCs3SB6vkYNOuib+Y3WkS1TvR6pFFwjH&#10;j5Pp6en5Cb4IR93xtLjI01tkL97W+fBdQEPipaQuJlXEpGIiiWu2u/UBY6PTwTiG9aBVdaO0ToLb&#10;rJfakR3DBjjLj/PFIc5fZtp8zhNDR9csktGXn25hr0UE1OZBSGQXCy5SyqmvxZgQ41yYMOlVNatE&#10;n+dJjr/IMcKPHklKgBFZYn0j9gAQZ+Y9dg8z2EdXkcZidM7/lVjvPHqkyGDC6NwoA+4jAI1VDZF7&#10;+wNJPTWRpdCtOzSJ1zVUe2xDB/18estvFL76LfNhxRwOJDYKLplwj4fU0JYUhhslNbjfH32P9jgn&#10;qKWkxQEvqf+1ZU5Qon8YnKCLyXQaN0ISpidnBQrutWb9WmO2zRKwhXBIMLt0jfZBH67SQfOMu2gR&#10;o6KKGY6xS8qDOwjL0C8e3GZcLBbJDLeAZeHWPFoewSPBsZefumfm7ND6AYfmDg7LgM3e9H1vGz0N&#10;LLYBpEpD8cLrQD1ukNRDw7aLK+q1nKxedvL8DwAAAP//AwBQSwMEFAAGAAgAAAAhAL2KfTbdAAAA&#10;CgEAAA8AAABkcnMvZG93bnJldi54bWxMj0FPwzAMhe9I/IfIk7gglhRUtHVNJ4TgPLFN4po2pq3a&#10;OKXJ2sKvx5zgZvs9PX8v3y+uFxOOofWkIVkrEEiVty3VGs6n17sNiBANWdN7Qg1fGGBfXF/lJrN+&#10;pjecjrEWHEIhMxqaGIdMylA16ExY+wGJtQ8/OhN5HWtpRzNzuOvlvVKP0pmW+ENjBnxusOqOF6ch&#10;UDl8ztjZ83RbfR/eDz596bzWN6vlaQci4hL/zPCLz+hQMFPpL2SD6DWk2y13iTwkCQg2bB4UH0p2&#10;qjQBWeTyf4XiBwAA//8DAFBLAQItABQABgAIAAAAIQC2gziS/gAAAOEBAAATAAAAAAAAAAAAAAAA&#10;AAAAAABbQ29udGVudF9UeXBlc10ueG1sUEsBAi0AFAAGAAgAAAAhADj9If/WAAAAlAEAAAsAAAAA&#10;AAAAAAAAAAAALwEAAF9yZWxzLy5yZWxzUEsBAi0AFAAGAAgAAAAhAASX462vAgAA2wUAAA4AAAAA&#10;AAAAAAAAAAAALgIAAGRycy9lMm9Eb2MueG1sUEsBAi0AFAAGAAgAAAAhAL2KfTbdAAAACgEAAA8A&#10;AAAAAAAAAAAAAAAACQUAAGRycy9kb3ducmV2LnhtbFBLBQYAAAAABAAEAPMAAAATBgAAAAA=&#10;" adj="-11796480,,5400" path="m57151,l1466850,r,l1466850,285749v,31564,-25587,57151,-57151,57151l,342900r,l,57151c,25587,25587,,57151,xe" fillcolor="#7030a0" strokecolor="#7030a0" strokeweight="2pt">
                <v:stroke joinstyle="miter"/>
                <v:formulas/>
                <v:path arrowok="t" o:connecttype="custom" o:connectlocs="57151,0;1466850,0;1466850,0;1466850,285749;1409699,342900;0,342900;0,342900;0,57151;57151,0" o:connectangles="0,0,0,0,0,0,0,0,0" textboxrect="0,0,1466850,342900"/>
                <v:textbox>
                  <w:txbxContent>
                    <w:p w:rsidR="00107991" w:rsidRDefault="00107991" w:rsidP="00107991">
                      <w:pPr>
                        <w:jc w:val="center"/>
                      </w:pPr>
                      <w:r>
                        <w:t>Hyperlink</w:t>
                      </w:r>
                    </w:p>
                  </w:txbxContent>
                </v:textbox>
              </v:shape>
            </w:pict>
          </mc:Fallback>
        </mc:AlternateContent>
      </w:r>
      <w:r w:rsidR="00834967" w:rsidRPr="00834967">
        <w:rPr>
          <w:sz w:val="28"/>
          <w:szCs w:val="22"/>
        </w:rPr>
        <w:t xml:space="preserve">Where available, hyperlinks to useful web pages are </w:t>
      </w:r>
      <w:r w:rsidR="00834967">
        <w:rPr>
          <w:sz w:val="28"/>
          <w:szCs w:val="22"/>
        </w:rPr>
        <w:t>embedded within the hea</w:t>
      </w:r>
      <w:r w:rsidR="000D17A1">
        <w:rPr>
          <w:sz w:val="28"/>
          <w:szCs w:val="22"/>
        </w:rPr>
        <w:t>ding of each different process e.g.:</w:t>
      </w:r>
    </w:p>
    <w:p w14:paraId="01447C62" w14:textId="77777777" w:rsidR="000D17A1" w:rsidRDefault="000D17A1" w:rsidP="00834967">
      <w:pPr>
        <w:rPr>
          <w:sz w:val="28"/>
          <w:szCs w:val="22"/>
        </w:rPr>
      </w:pPr>
    </w:p>
    <w:p w14:paraId="3B64736C" w14:textId="77777777" w:rsidR="000D17A1" w:rsidRPr="00834967" w:rsidRDefault="00107991" w:rsidP="00107991">
      <w:pPr>
        <w:jc w:val="center"/>
        <w:rPr>
          <w:sz w:val="28"/>
          <w:szCs w:val="22"/>
        </w:rPr>
      </w:pPr>
      <w:r>
        <w:rPr>
          <w:noProof/>
          <w:lang w:eastAsia="en-GB"/>
        </w:rPr>
        <mc:AlternateContent>
          <mc:Choice Requires="wps">
            <w:drawing>
              <wp:anchor distT="0" distB="0" distL="114300" distR="114300" simplePos="0" relativeHeight="251660288" behindDoc="0" locked="0" layoutInCell="1" allowOverlap="1" wp14:anchorId="6182A7E4" wp14:editId="6C6FD0C8">
                <wp:simplePos x="0" y="0"/>
                <wp:positionH relativeFrom="column">
                  <wp:posOffset>3600450</wp:posOffset>
                </wp:positionH>
                <wp:positionV relativeFrom="paragraph">
                  <wp:posOffset>53975</wp:posOffset>
                </wp:positionV>
                <wp:extent cx="203200" cy="247650"/>
                <wp:effectExtent l="19050" t="19050" r="25400" b="19050"/>
                <wp:wrapNone/>
                <wp:docPr id="22" name="Straight Connector 22"/>
                <wp:cNvGraphicFramePr/>
                <a:graphic xmlns:a="http://schemas.openxmlformats.org/drawingml/2006/main">
                  <a:graphicData uri="http://schemas.microsoft.com/office/word/2010/wordprocessingShape">
                    <wps:wsp>
                      <wps:cNvCnPr/>
                      <wps:spPr>
                        <a:xfrm flipH="1">
                          <a:off x="0" y="0"/>
                          <a:ext cx="203200" cy="24765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E140F9" id="Straight Connector 22"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4.25pt" to="299.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a67QEAAB4EAAAOAAAAZHJzL2Uyb0RvYy54bWysU8tu2zAQvBfoPxC815KVOg4Ey0HgIO2h&#10;aI0k/QCaIiUCfGHJWvLfd0nZSpC2hxa9ECR3Z3ZnuNzcjkaTo4CgnG3oclFSIix3rbJdQ78/P3y4&#10;oSREZlumnRUNPYlAb7fv320GX4vK9U63AgiS2FAPvqF9jL4uisB7YVhYOC8sBqUDwyIeoStaYAOy&#10;G11UZXldDA5aD46LEPD2fgrSbeaXUvD4TcogItENxd5iXiGvh7QW2w2rO2C+V/zcBvuHLgxTFovO&#10;VPcsMvID1C9URnFwwcm44M4UTkrFRdaAapblGzVPPfMia0Fzgp9tCv+Pln897oGotqFVRYllBt/o&#10;KQJTXR/JzlmLDjogGESnBh9qBOzsHs6n4PeQZI8SDJFa+c84BNkIlEbG7PNp9lmMkXC8rMorfDtK&#10;OIaqj+vrVX6HYqJJdB5C/CScIWnTUK1ssoHV7PglRCyNqZeUdK0tGZDpZrVe5bTgtGoflNYpGKA7&#10;7DSQI8MRWJdX5d2l2qs0JNQWeZPCSVPexZMWU4FHIdEl7H1Sl+dTzLSMc2HjMnmUmTA7wSS2MAPL&#10;qbU02H8CnvMTVOTZ/RvwjMiVnY0z2Cjr4HfV43hpWU75Fwcm3cmCg2tP+bWzNTiEWeH5w6Qpf33O&#10;8Jdvvf0JAAD//wMAUEsDBBQABgAIAAAAIQDvK1e/3gAAAAgBAAAPAAAAZHJzL2Rvd25yZXYueG1s&#10;TI/NTsMwEITvSLyDtUjcqMNP+hPiVAgB5QBItH0A117iiHgdxU6avj3LCY6jGc18U64n34oR+9gE&#10;UnA9y0AgmWAbqhXsd89XSxAxabK6DYQKThhhXZ2flbqw4UifOG5TLbiEYqEVuJS6QspoHHodZ6FD&#10;Yu8r9F4nln0tba+PXO5beZNlc+l1Q7zgdIePDs33dvAKNubFZfX7xo2GTm/D0/RxO76iUpcX08M9&#10;iIRT+gvDLz6jQ8VMhzCQjaJVkM8X/CUpWOYg2M9XK9YHBXeLHGRVyv8Hqh8AAAD//wMAUEsBAi0A&#10;FAAGAAgAAAAhALaDOJL+AAAA4QEAABMAAAAAAAAAAAAAAAAAAAAAAFtDb250ZW50X1R5cGVzXS54&#10;bWxQSwECLQAUAAYACAAAACEAOP0h/9YAAACUAQAACwAAAAAAAAAAAAAAAAAvAQAAX3JlbHMvLnJl&#10;bHNQSwECLQAUAAYACAAAACEAt8T2uu0BAAAeBAAADgAAAAAAAAAAAAAAAAAuAgAAZHJzL2Uyb0Rv&#10;Yy54bWxQSwECLQAUAAYACAAAACEA7ytXv94AAAAIAQAADwAAAAAAAAAAAAAAAABHBAAAZHJzL2Rv&#10;d25yZXYueG1sUEsFBgAAAAAEAAQA8wAAAFIFAAAAAA==&#10;" strokecolor="#7030a0" strokeweight="2.25pt"/>
            </w:pict>
          </mc:Fallback>
        </mc:AlternateContent>
      </w:r>
      <w:r>
        <w:rPr>
          <w:noProof/>
          <w:lang w:eastAsia="en-GB"/>
        </w:rPr>
        <w:drawing>
          <wp:inline distT="0" distB="0" distL="0" distR="0" wp14:anchorId="18A98BA2" wp14:editId="3B5E8CCF">
            <wp:extent cx="4927599" cy="12827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4102" t="44460" r="9867" b="27547"/>
                    <a:stretch/>
                  </pic:blipFill>
                  <pic:spPr bwMode="auto">
                    <a:xfrm>
                      <a:off x="0" y="0"/>
                      <a:ext cx="4932516" cy="128398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17ACDC71" w14:textId="77777777" w:rsidR="00834967" w:rsidRPr="00834967" w:rsidRDefault="00834967" w:rsidP="00834967">
      <w:pPr>
        <w:rPr>
          <w:sz w:val="28"/>
        </w:rPr>
      </w:pPr>
    </w:p>
    <w:p w14:paraId="5D9190B3" w14:textId="77777777" w:rsidR="00834967" w:rsidRPr="00834967" w:rsidRDefault="00834967" w:rsidP="00834967">
      <w:pPr>
        <w:rPr>
          <w:sz w:val="28"/>
        </w:rPr>
      </w:pPr>
      <w:r w:rsidRPr="00834967">
        <w:rPr>
          <w:noProof/>
          <w:sz w:val="28"/>
          <w:lang w:eastAsia="en-GB"/>
        </w:rPr>
        <mc:AlternateContent>
          <mc:Choice Requires="wpc">
            <w:drawing>
              <wp:inline distT="0" distB="0" distL="0" distR="0" wp14:anchorId="354CBB90" wp14:editId="5BC45F66">
                <wp:extent cx="5727700" cy="1257300"/>
                <wp:effectExtent l="0" t="19050" r="25400" b="1905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Text Box 4"/>
                        <wps:cNvSpPr txBox="1">
                          <a:spLocks noChangeArrowheads="1"/>
                        </wps:cNvSpPr>
                        <wps:spPr bwMode="auto">
                          <a:xfrm>
                            <a:off x="69694" y="0"/>
                            <a:ext cx="5658006" cy="1257300"/>
                          </a:xfrm>
                          <a:prstGeom prst="rect">
                            <a:avLst/>
                          </a:prstGeom>
                          <a:solidFill>
                            <a:srgbClr val="7030A0"/>
                          </a:solidFill>
                          <a:ln w="38100">
                            <a:solidFill>
                              <a:srgbClr val="7030A0"/>
                            </a:solidFill>
                            <a:miter lim="800000"/>
                            <a:headEnd/>
                            <a:tailEnd/>
                          </a:ln>
                        </wps:spPr>
                        <wps:txbx>
                          <w:txbxContent>
                            <w:p w14:paraId="05F73CFD" w14:textId="77777777" w:rsidR="000D17A1" w:rsidRPr="00834967" w:rsidRDefault="000D17A1" w:rsidP="00834967">
                              <w:pPr>
                                <w:shd w:val="clear" w:color="auto" w:fill="7030A0"/>
                                <w:jc w:val="center"/>
                                <w:rPr>
                                  <w:b/>
                                  <w:color w:val="FFFFFF" w:themeColor="background1"/>
                                </w:rPr>
                              </w:pPr>
                              <w:r w:rsidRPr="00834967">
                                <w:rPr>
                                  <w:b/>
                                  <w:color w:val="FFFFFF" w:themeColor="background1"/>
                                </w:rPr>
                                <w:t>In all circumstances</w:t>
                              </w:r>
                            </w:p>
                            <w:p w14:paraId="78EB6184" w14:textId="77777777" w:rsidR="000D17A1" w:rsidRPr="00834967" w:rsidRDefault="000D17A1" w:rsidP="00107991">
                              <w:pPr>
                                <w:numPr>
                                  <w:ilvl w:val="0"/>
                                  <w:numId w:val="4"/>
                                </w:numPr>
                                <w:rPr>
                                  <w:b/>
                                  <w:color w:val="FFFFFF" w:themeColor="background1"/>
                                </w:rPr>
                              </w:pPr>
                              <w:r w:rsidRPr="00834967">
                                <w:rPr>
                                  <w:color w:val="FFFFFF" w:themeColor="background1"/>
                                </w:rPr>
                                <w:t>Consider any immediate risks and contact emergency services if required</w:t>
                              </w:r>
                            </w:p>
                            <w:p w14:paraId="7908FA36" w14:textId="77777777" w:rsidR="000D17A1" w:rsidRPr="00834967" w:rsidRDefault="000D17A1" w:rsidP="00834967">
                              <w:pPr>
                                <w:rPr>
                                  <w:color w:val="FFFFFF" w:themeColor="background1"/>
                                </w:rPr>
                              </w:pPr>
                            </w:p>
                            <w:p w14:paraId="6873F428" w14:textId="77777777" w:rsidR="000D17A1" w:rsidRPr="00834967" w:rsidRDefault="000D17A1" w:rsidP="00834967">
                              <w:pPr>
                                <w:jc w:val="center"/>
                                <w:rPr>
                                  <w:b/>
                                  <w:color w:val="FFFFFF" w:themeColor="background1"/>
                                </w:rPr>
                              </w:pPr>
                              <w:r w:rsidRPr="00834967">
                                <w:rPr>
                                  <w:b/>
                                  <w:color w:val="FFFFFF" w:themeColor="background1"/>
                                </w:rPr>
                                <w:t>You should also consider</w:t>
                              </w:r>
                            </w:p>
                            <w:p w14:paraId="436A9D30" w14:textId="77777777" w:rsidR="000D17A1" w:rsidRPr="00834967" w:rsidRDefault="000D17A1" w:rsidP="00107991">
                              <w:pPr>
                                <w:numPr>
                                  <w:ilvl w:val="0"/>
                                  <w:numId w:val="4"/>
                                </w:numPr>
                                <w:rPr>
                                  <w:b/>
                                  <w:color w:val="FFFFFF" w:themeColor="background1"/>
                                </w:rPr>
                              </w:pPr>
                              <w:r w:rsidRPr="00834967">
                                <w:rPr>
                                  <w:color w:val="FFFFFF" w:themeColor="background1"/>
                                </w:rPr>
                                <w:t>Discussing the case with your line manager</w:t>
                              </w:r>
                            </w:p>
                            <w:p w14:paraId="6C1D2189" w14:textId="77777777" w:rsidR="000D17A1" w:rsidRPr="00834967" w:rsidRDefault="000D17A1" w:rsidP="00107991">
                              <w:pPr>
                                <w:numPr>
                                  <w:ilvl w:val="0"/>
                                  <w:numId w:val="4"/>
                                </w:numPr>
                                <w:rPr>
                                  <w:b/>
                                  <w:color w:val="FFFFFF" w:themeColor="background1"/>
                                </w:rPr>
                              </w:pPr>
                              <w:r w:rsidRPr="00834967">
                                <w:rPr>
                                  <w:color w:val="FFFFFF" w:themeColor="background1"/>
                                </w:rPr>
                                <w:t>Seeking advice from any of the referral points/contacts listed below</w:t>
                              </w:r>
                            </w:p>
                          </w:txbxContent>
                        </wps:txbx>
                        <wps:bodyPr rot="0" vert="horz" wrap="square" lIns="91440" tIns="45720" rIns="91440" bIns="45720" anchor="t" anchorCtr="0" upright="1">
                          <a:noAutofit/>
                        </wps:bodyPr>
                      </wps:wsp>
                    </wpc:wpc>
                  </a:graphicData>
                </a:graphic>
              </wp:inline>
            </w:drawing>
          </mc:Choice>
          <mc:Fallback>
            <w:pict>
              <v:group w14:anchorId="7964DBC5" id="Canvas 19" o:spid="_x0000_s1027" editas="canvas" style="width:451pt;height:99pt;mso-position-horizontal-relative:char;mso-position-vertical-relative:line" coordsize="5727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6fYgIAAAwFAAAOAAAAZHJzL2Uyb0RvYy54bWysVNtu2zAMfR+wfxD0vtpJk7Q16hRdug4D&#10;ugvQ7gNoWbaFyaImKbG7ry8lJ1m7vXXLgyKJ9OEhD6nLq7HXbCedV2hKPjvJOZNGYK1MW/LvD7fv&#10;zjnzAUwNGo0s+aP0/Gr99s3lYAs5xw51LR0jEOOLwZa8C8EWWeZFJ3vwJ2ilIWODrodAR9dmtYOB&#10;0HudzfN8lQ3oautQSO/p9mYy8nXCbxopwtem8TIwXXLiFtLq0lrFNVtfQtE6sJ0SexrwChY9KENB&#10;j1A3EIBtnfoLqlfCoccmnAjsM2waJWTKgbKZ5X9kswGzA5+SEVSdA0Ha/Ufcqo28Dd4qrakaGaEX&#10;8S7+D6SPjGZtXjpNN8l37zNYEtDbo5T+3yjed2BlytwX4svum2Oqpv6ibjLQUx89yDGw9ziyRZQw&#10;Bieve0t+YaRrck1yeHuH4odnBjcdmFZeO4dDJ6EmerP4JaVw/HTC8RGkGj5jTWFgGzABjY3rYwlI&#10;MUboq4vVxYKzx2MLRTqCDMvV8pzakjNBttl8eXaapybLoDhAWOfDR4k9i5uSO+rRFAJ2dz5ESlAc&#10;XGJEj1rVUZx0cG210Y7tgPr5LD/Nrw/oL9y0YUPJT89nFPy1GL0KNJla9SWnjOg3zUos3gdTE08o&#10;Aig97YlzbJFUzVjAqZRhrMZJt4NIFdaPVF6H0yDSw0GbDt0vzgYawpL7n1twkjP9yZBEF7PFIk5t&#10;OiyWZ3M6uOeW6rkFjCCokgfOpu0mTJO+tU61HUWamsLgNcnaqFTsqP/Eak+fmjjt0sQlNfbPQ5zp&#10;5+fk9fsRWz8BAAD//wMAUEsDBBQABgAIAAAAIQAkmhcl2wAAAAUBAAAPAAAAZHJzL2Rvd25yZXYu&#10;eG1sTI9BS8QwEIXvgv8hjODNTSzL2q1NFxEU0YO6Frxm29k2mExKk91Wf72jF70MPN7jzffKzeyd&#10;OOIYbSANlwsFAqkJraVOQ/12d5GDiMlQa1wg1PCJETbV6UlpijZM9IrHbeoEl1AsjIY+paGQMjY9&#10;ehMXYUBibx9GbxLLsZPtaCYu905mSq2kN5b4Q28GvO2x+dgevIZltnf5y/3q6euhrqfH96W9Us9W&#10;6/Oz+eYaRMI5/YXhB5/RoWKmXThQG4XTwEPS72VvrTKWOw6tcwWyKuV/+uobAAD//wMAUEsBAi0A&#10;FAAGAAgAAAAhALaDOJL+AAAA4QEAABMAAAAAAAAAAAAAAAAAAAAAAFtDb250ZW50X1R5cGVzXS54&#10;bWxQSwECLQAUAAYACAAAACEAOP0h/9YAAACUAQAACwAAAAAAAAAAAAAAAAAvAQAAX3JlbHMvLnJl&#10;bHNQSwECLQAUAAYACAAAACEAPEQ+n2ICAAAMBQAADgAAAAAAAAAAAAAAAAAuAgAAZHJzL2Uyb0Rv&#10;Yy54bWxQSwECLQAUAAYACAAAACEAJJoXJdsAAAAFAQAADwAAAAAAAAAAAAAAAAC8BAAAZHJzL2Rv&#10;d25yZXYueG1sUEsFBgAAAAAEAAQA8wAAAM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277;height:1257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696;width:56581;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pFQxQAAANsAAAAPAAAAZHJzL2Rvd25yZXYueG1sRI9PawJB&#10;DMXvBb/DEKG3OusepKyO0gqCHorUttJj2Mn+oTuZdWbU1U/fHAq9JbyX935ZrAbXqQuF2Ho2MJ1k&#10;oIhLb1uuDXx+bJ6eQcWEbLHzTAZuFGG1HD0ssLD+yu90OaRaSQjHAg00KfWF1rFsyGGc+J5YtMoH&#10;h0nWUGsb8CrhrtN5ls20w5alocGe1g2VP4ezM7D7ejvNvvNc96/nmN+P+ypUfm/M43h4mYNKNKR/&#10;89/11gq+wMovMoBe/gIAAP//AwBQSwECLQAUAAYACAAAACEA2+H2y+4AAACFAQAAEwAAAAAAAAAA&#10;AAAAAAAAAAAAW0NvbnRlbnRfVHlwZXNdLnhtbFBLAQItABQABgAIAAAAIQBa9CxbvwAAABUBAAAL&#10;AAAAAAAAAAAAAAAAAB8BAABfcmVscy8ucmVsc1BLAQItABQABgAIAAAAIQBDqpFQxQAAANsAAAAP&#10;AAAAAAAAAAAAAAAAAAcCAABkcnMvZG93bnJldi54bWxQSwUGAAAAAAMAAwC3AAAA+QIAAAAA&#10;" fillcolor="#7030a0" strokecolor="#7030a0" strokeweight="3pt">
                  <v:textbox>
                    <w:txbxContent>
                      <w:p w:rsidR="000D17A1" w:rsidRPr="00834967" w:rsidRDefault="000D17A1" w:rsidP="00834967">
                        <w:pPr>
                          <w:shd w:val="clear" w:color="auto" w:fill="7030A0"/>
                          <w:jc w:val="center"/>
                          <w:rPr>
                            <w:b/>
                            <w:color w:val="FFFFFF" w:themeColor="background1"/>
                          </w:rPr>
                        </w:pPr>
                        <w:r w:rsidRPr="00834967">
                          <w:rPr>
                            <w:b/>
                            <w:color w:val="FFFFFF" w:themeColor="background1"/>
                          </w:rPr>
                          <w:t>In all circumstances</w:t>
                        </w:r>
                      </w:p>
                      <w:p w:rsidR="000D17A1" w:rsidRPr="00834967" w:rsidRDefault="000D17A1" w:rsidP="00107991">
                        <w:pPr>
                          <w:numPr>
                            <w:ilvl w:val="0"/>
                            <w:numId w:val="4"/>
                          </w:numPr>
                          <w:rPr>
                            <w:b/>
                            <w:color w:val="FFFFFF" w:themeColor="background1"/>
                          </w:rPr>
                        </w:pPr>
                        <w:r w:rsidRPr="00834967">
                          <w:rPr>
                            <w:color w:val="FFFFFF" w:themeColor="background1"/>
                          </w:rPr>
                          <w:t>Consider any immediate risks and contact emergency services if required</w:t>
                        </w:r>
                      </w:p>
                      <w:p w:rsidR="000D17A1" w:rsidRPr="00834967" w:rsidRDefault="000D17A1" w:rsidP="00834967">
                        <w:pPr>
                          <w:rPr>
                            <w:color w:val="FFFFFF" w:themeColor="background1"/>
                          </w:rPr>
                        </w:pPr>
                      </w:p>
                      <w:p w:rsidR="000D17A1" w:rsidRPr="00834967" w:rsidRDefault="000D17A1" w:rsidP="00834967">
                        <w:pPr>
                          <w:jc w:val="center"/>
                          <w:rPr>
                            <w:b/>
                            <w:color w:val="FFFFFF" w:themeColor="background1"/>
                          </w:rPr>
                        </w:pPr>
                        <w:r w:rsidRPr="00834967">
                          <w:rPr>
                            <w:b/>
                            <w:color w:val="FFFFFF" w:themeColor="background1"/>
                          </w:rPr>
                          <w:t>You should also consider</w:t>
                        </w:r>
                      </w:p>
                      <w:p w:rsidR="000D17A1" w:rsidRPr="00834967" w:rsidRDefault="000D17A1" w:rsidP="00107991">
                        <w:pPr>
                          <w:numPr>
                            <w:ilvl w:val="0"/>
                            <w:numId w:val="4"/>
                          </w:numPr>
                          <w:rPr>
                            <w:b/>
                            <w:color w:val="FFFFFF" w:themeColor="background1"/>
                          </w:rPr>
                        </w:pPr>
                        <w:r w:rsidRPr="00834967">
                          <w:rPr>
                            <w:color w:val="FFFFFF" w:themeColor="background1"/>
                          </w:rPr>
                          <w:t>Discussing the case with your line manager</w:t>
                        </w:r>
                      </w:p>
                      <w:p w:rsidR="000D17A1" w:rsidRPr="00834967" w:rsidRDefault="000D17A1" w:rsidP="00107991">
                        <w:pPr>
                          <w:numPr>
                            <w:ilvl w:val="0"/>
                            <w:numId w:val="4"/>
                          </w:numPr>
                          <w:rPr>
                            <w:b/>
                            <w:color w:val="FFFFFF" w:themeColor="background1"/>
                          </w:rPr>
                        </w:pPr>
                        <w:r w:rsidRPr="00834967">
                          <w:rPr>
                            <w:color w:val="FFFFFF" w:themeColor="background1"/>
                          </w:rPr>
                          <w:t>Seeking advice from any of the referral points/contacts listed below</w:t>
                        </w:r>
                      </w:p>
                    </w:txbxContent>
                  </v:textbox>
                </v:shape>
                <w10:anchorlock/>
              </v:group>
            </w:pict>
          </mc:Fallback>
        </mc:AlternateContent>
      </w:r>
    </w:p>
    <w:p w14:paraId="3468FEF7" w14:textId="77777777" w:rsidR="00834967" w:rsidRDefault="00834967">
      <w:pPr>
        <w:rPr>
          <w:b/>
          <w:sz w:val="28"/>
          <w:szCs w:val="28"/>
        </w:rPr>
      </w:pPr>
      <w:r>
        <w:rPr>
          <w:b/>
          <w:sz w:val="28"/>
          <w:szCs w:val="28"/>
        </w:rPr>
        <w:br w:type="page"/>
      </w:r>
    </w:p>
    <w:p w14:paraId="3B0A1EB3" w14:textId="77777777" w:rsidR="00834967" w:rsidRPr="00427FE1" w:rsidRDefault="00834967" w:rsidP="00834967">
      <w:pPr>
        <w:rPr>
          <w:b/>
          <w:sz w:val="28"/>
          <w:szCs w:val="28"/>
        </w:rPr>
      </w:pPr>
      <w:r w:rsidRPr="00427FE1">
        <w:rPr>
          <w:b/>
          <w:sz w:val="28"/>
          <w:szCs w:val="28"/>
        </w:rPr>
        <w:lastRenderedPageBreak/>
        <w:t>Section 1</w:t>
      </w:r>
      <w:r>
        <w:rPr>
          <w:b/>
          <w:sz w:val="28"/>
          <w:szCs w:val="28"/>
        </w:rPr>
        <w:t>:</w:t>
      </w:r>
      <w:r w:rsidRPr="00427FE1">
        <w:rPr>
          <w:b/>
          <w:sz w:val="28"/>
          <w:szCs w:val="28"/>
        </w:rPr>
        <w:t xml:space="preserve"> Statutory </w:t>
      </w:r>
    </w:p>
    <w:p w14:paraId="0E48921F" w14:textId="77777777" w:rsidR="00834967" w:rsidRDefault="00834967" w:rsidP="00834967"/>
    <w:p w14:paraId="111A619E" w14:textId="77777777" w:rsidR="00834967" w:rsidRDefault="00834967" w:rsidP="00834967">
      <w:r>
        <w:t xml:space="preserve">These processes are all governed by legislation or statutory guidance. The procedures </w:t>
      </w:r>
      <w:r w:rsidRPr="0081688B">
        <w:rPr>
          <w:b/>
        </w:rPr>
        <w:t xml:space="preserve">must be followed where the criteria </w:t>
      </w:r>
      <w:proofErr w:type="gramStart"/>
      <w:r w:rsidRPr="0081688B">
        <w:rPr>
          <w:b/>
        </w:rPr>
        <w:t>applies</w:t>
      </w:r>
      <w:proofErr w:type="gramEnd"/>
      <w:r>
        <w:t xml:space="preserve">. </w:t>
      </w:r>
    </w:p>
    <w:p w14:paraId="3C1FA046" w14:textId="77777777" w:rsidR="00834967" w:rsidRDefault="00834967" w:rsidP="00834967"/>
    <w:p w14:paraId="245467E9" w14:textId="77777777" w:rsidR="00834967" w:rsidRDefault="00834967" w:rsidP="00834967">
      <w:r>
        <w:t xml:space="preserve">Where it is felt that more than one </w:t>
      </w:r>
      <w:proofErr w:type="gramStart"/>
      <w:r>
        <w:t>criteria</w:t>
      </w:r>
      <w:proofErr w:type="gramEnd"/>
      <w:r>
        <w:t xml:space="preserve"> is met:</w:t>
      </w:r>
    </w:p>
    <w:p w14:paraId="55231E40" w14:textId="77777777" w:rsidR="00834967" w:rsidRDefault="00834967" w:rsidP="00107991">
      <w:pPr>
        <w:numPr>
          <w:ilvl w:val="0"/>
          <w:numId w:val="3"/>
        </w:numPr>
        <w:tabs>
          <w:tab w:val="clear" w:pos="720"/>
          <w:tab w:val="num" w:pos="330"/>
        </w:tabs>
        <w:ind w:left="330" w:hanging="330"/>
      </w:pPr>
      <w:r>
        <w:t xml:space="preserve">it may be appropriate to make more than one referral (e.g. MAPPA procedures specifically focus on risks from the alleged perpetrator and safeguarding procedures would focus on the alleged victim) </w:t>
      </w:r>
    </w:p>
    <w:p w14:paraId="3F4C5777" w14:textId="77777777" w:rsidR="00834967" w:rsidRDefault="00834967" w:rsidP="00107991">
      <w:pPr>
        <w:numPr>
          <w:ilvl w:val="0"/>
          <w:numId w:val="3"/>
        </w:numPr>
        <w:tabs>
          <w:tab w:val="clear" w:pos="720"/>
          <w:tab w:val="num" w:pos="330"/>
        </w:tabs>
        <w:ind w:left="330" w:hanging="330"/>
      </w:pPr>
      <w:r>
        <w:t>reference should be made on the referral form(s) of any other referrals that have been made.</w:t>
      </w:r>
    </w:p>
    <w:p w14:paraId="6EC43E61" w14:textId="77777777" w:rsidR="00834967" w:rsidRPr="00427FE1" w:rsidRDefault="00834967" w:rsidP="00834967"/>
    <w:p w14:paraId="7999FA62" w14:textId="77777777" w:rsidR="00834967" w:rsidRPr="005C2791" w:rsidRDefault="00834967" w:rsidP="00834967">
      <w:pPr>
        <w:rPr>
          <w:b/>
          <w:sz w:val="28"/>
          <w:szCs w:val="28"/>
        </w:rPr>
      </w:pPr>
      <w:r>
        <w:rPr>
          <w:b/>
          <w:sz w:val="28"/>
          <w:szCs w:val="28"/>
        </w:rPr>
        <w:t>Risks due to abuse or neglect</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7021"/>
      </w:tblGrid>
      <w:tr w:rsidR="00834967" w:rsidRPr="00834967" w14:paraId="3C3B9E23" w14:textId="77777777" w:rsidTr="00834967">
        <w:tc>
          <w:tcPr>
            <w:tcW w:w="9238" w:type="dxa"/>
            <w:gridSpan w:val="2"/>
            <w:shd w:val="clear" w:color="auto" w:fill="7030A0"/>
          </w:tcPr>
          <w:p w14:paraId="23277837" w14:textId="77777777" w:rsidR="00834967" w:rsidRPr="00834967" w:rsidRDefault="00281F6D" w:rsidP="00834967">
            <w:pPr>
              <w:jc w:val="center"/>
              <w:rPr>
                <w:rFonts w:cs="Arial"/>
                <w:b/>
                <w:color w:val="FFFFFF" w:themeColor="background1"/>
              </w:rPr>
            </w:pPr>
            <w:hyperlink r:id="rId8" w:history="1">
              <w:r w:rsidR="00834967" w:rsidRPr="00834967">
                <w:rPr>
                  <w:rStyle w:val="Hyperlink"/>
                  <w:b/>
                  <w:color w:val="FFFFFF" w:themeColor="background1"/>
                </w:rPr>
                <w:t>Safeguarding Adults</w:t>
              </w:r>
            </w:hyperlink>
          </w:p>
        </w:tc>
      </w:tr>
      <w:tr w:rsidR="00834967" w:rsidRPr="00657E57" w14:paraId="5C6FCAD9" w14:textId="77777777" w:rsidTr="00834967">
        <w:tc>
          <w:tcPr>
            <w:tcW w:w="2088" w:type="dxa"/>
            <w:shd w:val="clear" w:color="auto" w:fill="E6E6E6"/>
          </w:tcPr>
          <w:p w14:paraId="562E7B7B" w14:textId="77777777" w:rsidR="00834967" w:rsidRPr="00657E57" w:rsidRDefault="00834967" w:rsidP="00834967">
            <w:pPr>
              <w:rPr>
                <w:rFonts w:cs="Arial"/>
                <w:b/>
              </w:rPr>
            </w:pPr>
            <w:r w:rsidRPr="00657E57">
              <w:rPr>
                <w:rFonts w:cs="Arial"/>
                <w:b/>
              </w:rPr>
              <w:t>Lead agency</w:t>
            </w:r>
          </w:p>
        </w:tc>
        <w:tc>
          <w:tcPr>
            <w:tcW w:w="7150" w:type="dxa"/>
            <w:shd w:val="clear" w:color="auto" w:fill="auto"/>
          </w:tcPr>
          <w:p w14:paraId="5044048F" w14:textId="77777777" w:rsidR="00834967" w:rsidRPr="00657E57" w:rsidRDefault="00834967" w:rsidP="00834967">
            <w:pPr>
              <w:rPr>
                <w:rFonts w:cs="Arial"/>
              </w:rPr>
            </w:pPr>
            <w:r w:rsidRPr="00657E57">
              <w:rPr>
                <w:rFonts w:cs="Arial"/>
              </w:rPr>
              <w:t>Local Authority</w:t>
            </w:r>
          </w:p>
        </w:tc>
      </w:tr>
      <w:tr w:rsidR="00834967" w:rsidRPr="00657E57" w14:paraId="457AAF4D" w14:textId="77777777" w:rsidTr="00834967">
        <w:tc>
          <w:tcPr>
            <w:tcW w:w="2088" w:type="dxa"/>
            <w:shd w:val="clear" w:color="auto" w:fill="E6E6E6"/>
          </w:tcPr>
          <w:p w14:paraId="47C5CC0F" w14:textId="77777777" w:rsidR="00834967" w:rsidRPr="00657E57" w:rsidRDefault="00834967" w:rsidP="00834967">
            <w:pPr>
              <w:rPr>
                <w:rFonts w:cs="Arial"/>
                <w:b/>
              </w:rPr>
            </w:pPr>
            <w:r w:rsidRPr="00657E57">
              <w:rPr>
                <w:rFonts w:cs="Arial"/>
                <w:b/>
              </w:rPr>
              <w:t>Key partners</w:t>
            </w:r>
          </w:p>
        </w:tc>
        <w:tc>
          <w:tcPr>
            <w:tcW w:w="7150" w:type="dxa"/>
            <w:shd w:val="clear" w:color="auto" w:fill="auto"/>
          </w:tcPr>
          <w:p w14:paraId="0A324481" w14:textId="77777777" w:rsidR="00834967" w:rsidRPr="00657E57" w:rsidRDefault="00834967" w:rsidP="00834967">
            <w:pPr>
              <w:rPr>
                <w:rFonts w:cs="Arial"/>
              </w:rPr>
            </w:pPr>
            <w:r w:rsidRPr="00657E57">
              <w:rPr>
                <w:rFonts w:cs="Arial"/>
              </w:rPr>
              <w:t>Health, Police, Housing, Regulators, Probation</w:t>
            </w:r>
            <w:r>
              <w:rPr>
                <w:rFonts w:cs="Arial"/>
              </w:rPr>
              <w:t xml:space="preserve"> services</w:t>
            </w:r>
            <w:r w:rsidRPr="00657E57">
              <w:rPr>
                <w:rFonts w:cs="Arial"/>
              </w:rPr>
              <w:t>, VCS, Independent Sector</w:t>
            </w:r>
          </w:p>
        </w:tc>
      </w:tr>
      <w:tr w:rsidR="00834967" w:rsidRPr="00657E57" w14:paraId="02F8F0ED" w14:textId="77777777" w:rsidTr="00834967">
        <w:tc>
          <w:tcPr>
            <w:tcW w:w="2088" w:type="dxa"/>
            <w:shd w:val="clear" w:color="auto" w:fill="E6E6E6"/>
          </w:tcPr>
          <w:p w14:paraId="0EA3FDC9" w14:textId="77777777" w:rsidR="00834967" w:rsidRPr="00657E57" w:rsidRDefault="00834967" w:rsidP="00834967">
            <w:pPr>
              <w:rPr>
                <w:rFonts w:cs="Arial"/>
                <w:b/>
              </w:rPr>
            </w:pPr>
            <w:r w:rsidRPr="00657E57">
              <w:rPr>
                <w:rFonts w:cs="Arial"/>
                <w:b/>
              </w:rPr>
              <w:t>Criteria/threshold</w:t>
            </w:r>
          </w:p>
        </w:tc>
        <w:tc>
          <w:tcPr>
            <w:tcW w:w="7150" w:type="dxa"/>
            <w:shd w:val="clear" w:color="auto" w:fill="auto"/>
          </w:tcPr>
          <w:p w14:paraId="444BAF35" w14:textId="77777777" w:rsidR="00834967" w:rsidRDefault="00834967" w:rsidP="00834967">
            <w:pPr>
              <w:rPr>
                <w:rFonts w:cs="Arial"/>
              </w:rPr>
            </w:pPr>
            <w:r>
              <w:rPr>
                <w:rFonts w:cs="Arial"/>
              </w:rPr>
              <w:t>Adult who:</w:t>
            </w:r>
          </w:p>
          <w:p w14:paraId="268D5E05" w14:textId="77777777" w:rsidR="00834967" w:rsidRPr="00834967" w:rsidRDefault="00834967" w:rsidP="00107991">
            <w:pPr>
              <w:pStyle w:val="ListParagraph"/>
              <w:numPr>
                <w:ilvl w:val="0"/>
                <w:numId w:val="7"/>
              </w:numPr>
              <w:tabs>
                <w:tab w:val="clear" w:pos="720"/>
                <w:tab w:val="num" w:pos="335"/>
              </w:tabs>
              <w:ind w:left="335" w:hanging="284"/>
              <w:rPr>
                <w:rFonts w:cs="Arial"/>
              </w:rPr>
            </w:pPr>
            <w:r w:rsidRPr="00834967">
              <w:rPr>
                <w:rFonts w:cs="Arial"/>
              </w:rPr>
              <w:t>is aged 18 or over; and</w:t>
            </w:r>
          </w:p>
          <w:p w14:paraId="185CB086" w14:textId="77777777" w:rsidR="00834967" w:rsidRPr="00834967" w:rsidRDefault="00834967" w:rsidP="00107991">
            <w:pPr>
              <w:pStyle w:val="ListParagraph"/>
              <w:numPr>
                <w:ilvl w:val="0"/>
                <w:numId w:val="7"/>
              </w:numPr>
              <w:tabs>
                <w:tab w:val="clear" w:pos="720"/>
                <w:tab w:val="num" w:pos="335"/>
              </w:tabs>
              <w:ind w:left="335" w:hanging="284"/>
              <w:rPr>
                <w:rFonts w:cs="Arial"/>
              </w:rPr>
            </w:pPr>
            <w:r w:rsidRPr="00834967">
              <w:rPr>
                <w:rFonts w:cs="Arial"/>
              </w:rPr>
              <w:t>has needs for care and support (</w:t>
            </w:r>
            <w:proofErr w:type="gramStart"/>
            <w:r w:rsidRPr="00834967">
              <w:rPr>
                <w:rFonts w:cs="Arial"/>
              </w:rPr>
              <w:t>whether or not</w:t>
            </w:r>
            <w:proofErr w:type="gramEnd"/>
            <w:r w:rsidRPr="00834967">
              <w:rPr>
                <w:rFonts w:cs="Arial"/>
              </w:rPr>
              <w:t xml:space="preserve"> those needs are being met); and</w:t>
            </w:r>
          </w:p>
          <w:p w14:paraId="36ECBBD4" w14:textId="77777777" w:rsidR="00834967" w:rsidRPr="00834967" w:rsidRDefault="00834967" w:rsidP="00107991">
            <w:pPr>
              <w:pStyle w:val="ListParagraph"/>
              <w:numPr>
                <w:ilvl w:val="0"/>
                <w:numId w:val="7"/>
              </w:numPr>
              <w:tabs>
                <w:tab w:val="clear" w:pos="720"/>
                <w:tab w:val="num" w:pos="335"/>
              </w:tabs>
              <w:ind w:left="335" w:hanging="284"/>
              <w:rPr>
                <w:rFonts w:cs="Arial"/>
              </w:rPr>
            </w:pPr>
            <w:r w:rsidRPr="00834967">
              <w:rPr>
                <w:rFonts w:cs="Arial"/>
              </w:rPr>
              <w:t>is experiencing, or is at risk of, abuse or neglect; and</w:t>
            </w:r>
          </w:p>
          <w:p w14:paraId="32EE81DE" w14:textId="77777777" w:rsidR="00834967" w:rsidRPr="00834967" w:rsidRDefault="00834967" w:rsidP="00107991">
            <w:pPr>
              <w:pStyle w:val="ListParagraph"/>
              <w:numPr>
                <w:ilvl w:val="0"/>
                <w:numId w:val="7"/>
              </w:numPr>
              <w:tabs>
                <w:tab w:val="clear" w:pos="720"/>
                <w:tab w:val="num" w:pos="335"/>
              </w:tabs>
              <w:ind w:left="335" w:hanging="284"/>
              <w:rPr>
                <w:rFonts w:cs="Arial"/>
              </w:rPr>
            </w:pPr>
            <w:r w:rsidRPr="00834967">
              <w:rPr>
                <w:rFonts w:cs="Arial"/>
              </w:rPr>
              <w:t>as a result of those needs is unable to protect him or herself against the abuse or neglect or the risk of it.</w:t>
            </w:r>
          </w:p>
        </w:tc>
      </w:tr>
      <w:tr w:rsidR="00834967" w:rsidRPr="00657E57" w14:paraId="13AE6549" w14:textId="77777777" w:rsidTr="00834967">
        <w:tc>
          <w:tcPr>
            <w:tcW w:w="2088" w:type="dxa"/>
            <w:shd w:val="clear" w:color="auto" w:fill="E6E6E6"/>
          </w:tcPr>
          <w:p w14:paraId="233F6E52" w14:textId="77777777" w:rsidR="00834967" w:rsidRPr="00657E57" w:rsidRDefault="00834967" w:rsidP="00834967">
            <w:pPr>
              <w:rPr>
                <w:rFonts w:cs="Arial"/>
                <w:b/>
              </w:rPr>
            </w:pPr>
            <w:r w:rsidRPr="00657E57">
              <w:rPr>
                <w:rFonts w:cs="Arial"/>
                <w:b/>
              </w:rPr>
              <w:t>Referral process</w:t>
            </w:r>
          </w:p>
        </w:tc>
        <w:tc>
          <w:tcPr>
            <w:tcW w:w="7150" w:type="dxa"/>
            <w:shd w:val="clear" w:color="auto" w:fill="auto"/>
          </w:tcPr>
          <w:p w14:paraId="5377F870" w14:textId="77777777" w:rsidR="00834967" w:rsidRPr="00657E57" w:rsidRDefault="00834967" w:rsidP="00834967">
            <w:pPr>
              <w:rPr>
                <w:rFonts w:cs="Arial"/>
              </w:rPr>
            </w:pPr>
            <w:r w:rsidRPr="00657E57">
              <w:rPr>
                <w:rFonts w:cs="Arial"/>
              </w:rPr>
              <w:t xml:space="preserve">Refer within </w:t>
            </w:r>
            <w:r>
              <w:rPr>
                <w:rFonts w:cs="Arial"/>
              </w:rPr>
              <w:t>one working day</w:t>
            </w:r>
            <w:r w:rsidRPr="00657E57">
              <w:rPr>
                <w:rFonts w:cs="Arial"/>
              </w:rPr>
              <w:t>, by telephone, to:</w:t>
            </w:r>
          </w:p>
          <w:p w14:paraId="3C82B774" w14:textId="77777777" w:rsidR="00834967" w:rsidRPr="00657E57" w:rsidRDefault="00834967" w:rsidP="00107991">
            <w:pPr>
              <w:numPr>
                <w:ilvl w:val="0"/>
                <w:numId w:val="5"/>
              </w:numPr>
              <w:rPr>
                <w:rFonts w:cs="Arial"/>
              </w:rPr>
            </w:pPr>
            <w:r w:rsidRPr="00657E57">
              <w:rPr>
                <w:rFonts w:cs="Arial"/>
              </w:rPr>
              <w:t xml:space="preserve">Community Health and Social Care Direct </w:t>
            </w:r>
          </w:p>
          <w:p w14:paraId="7DC4C404" w14:textId="77777777" w:rsidR="00834967" w:rsidRPr="00657E57" w:rsidRDefault="00834967" w:rsidP="00834967">
            <w:pPr>
              <w:ind w:left="360"/>
              <w:rPr>
                <w:rFonts w:cs="Arial"/>
              </w:rPr>
            </w:pPr>
            <w:r w:rsidRPr="00657E57">
              <w:rPr>
                <w:rFonts w:cs="Arial"/>
              </w:rPr>
              <w:t xml:space="preserve">      (0191 278 8377)</w:t>
            </w:r>
          </w:p>
          <w:p w14:paraId="00A0B65B" w14:textId="77777777" w:rsidR="00834967" w:rsidRPr="00657E57" w:rsidRDefault="00834967" w:rsidP="00834967">
            <w:pPr>
              <w:rPr>
                <w:rFonts w:cs="Arial"/>
              </w:rPr>
            </w:pPr>
            <w:r w:rsidRPr="00657E57">
              <w:rPr>
                <w:rFonts w:cs="Arial"/>
              </w:rPr>
              <w:t>OR</w:t>
            </w:r>
          </w:p>
          <w:p w14:paraId="30807FED" w14:textId="77777777" w:rsidR="00834967" w:rsidRPr="00657E57" w:rsidRDefault="00834967" w:rsidP="00107991">
            <w:pPr>
              <w:numPr>
                <w:ilvl w:val="0"/>
                <w:numId w:val="5"/>
              </w:numPr>
              <w:rPr>
                <w:rFonts w:cs="Arial"/>
              </w:rPr>
            </w:pPr>
            <w:r w:rsidRPr="00657E57">
              <w:rPr>
                <w:rFonts w:cs="Arial"/>
              </w:rPr>
              <w:t>Allocated Social Worker if known</w:t>
            </w:r>
          </w:p>
          <w:p w14:paraId="4CB869C9" w14:textId="77777777" w:rsidR="00834967" w:rsidRPr="00657E57" w:rsidRDefault="00834967" w:rsidP="00834967">
            <w:pPr>
              <w:rPr>
                <w:rFonts w:cs="Arial"/>
              </w:rPr>
            </w:pPr>
            <w:r>
              <w:rPr>
                <w:rFonts w:cs="Arial"/>
              </w:rPr>
              <w:t xml:space="preserve">Referral to be followed up in writing using Safeguarding Adults Initial Enquiry Form (former SAMA1). </w:t>
            </w:r>
          </w:p>
          <w:p w14:paraId="59BF1C52" w14:textId="77777777" w:rsidR="00834967" w:rsidRPr="00657E57" w:rsidRDefault="00834967" w:rsidP="00834967">
            <w:pPr>
              <w:rPr>
                <w:rFonts w:cs="Arial"/>
              </w:rPr>
            </w:pPr>
            <w:r w:rsidRPr="00657E57">
              <w:rPr>
                <w:rFonts w:cs="Arial"/>
              </w:rPr>
              <w:t>Advice can be sought from referral points or Safeguarding Adults Unit: 0191 278 8156</w:t>
            </w:r>
          </w:p>
        </w:tc>
      </w:tr>
      <w:tr w:rsidR="00834967" w:rsidRPr="00657E57" w14:paraId="4DA41C58" w14:textId="77777777" w:rsidTr="00834967">
        <w:tc>
          <w:tcPr>
            <w:tcW w:w="2088" w:type="dxa"/>
            <w:shd w:val="clear" w:color="auto" w:fill="E6E6E6"/>
          </w:tcPr>
          <w:p w14:paraId="24705FC9" w14:textId="77777777" w:rsidR="00834967" w:rsidRPr="00657E57" w:rsidRDefault="00834967" w:rsidP="00834967">
            <w:pPr>
              <w:rPr>
                <w:rFonts w:cs="Arial"/>
                <w:b/>
              </w:rPr>
            </w:pPr>
            <w:r w:rsidRPr="00657E57">
              <w:rPr>
                <w:rFonts w:cs="Arial"/>
                <w:b/>
              </w:rPr>
              <w:t>Timescales following referral</w:t>
            </w:r>
          </w:p>
        </w:tc>
        <w:tc>
          <w:tcPr>
            <w:tcW w:w="7150" w:type="dxa"/>
            <w:shd w:val="clear" w:color="auto" w:fill="auto"/>
          </w:tcPr>
          <w:p w14:paraId="061779B1" w14:textId="77777777" w:rsidR="00834967" w:rsidRPr="00657E57" w:rsidRDefault="00834967" w:rsidP="00834967">
            <w:pPr>
              <w:rPr>
                <w:rFonts w:cs="Arial"/>
              </w:rPr>
            </w:pPr>
            <w:r w:rsidRPr="00657E57">
              <w:rPr>
                <w:rFonts w:cs="Arial"/>
              </w:rPr>
              <w:t xml:space="preserve">A decision will be made by Adult Social Care within </w:t>
            </w:r>
            <w:r>
              <w:rPr>
                <w:rFonts w:cs="Arial"/>
              </w:rPr>
              <w:t>one working day whether the Safeguarding Adults Enquiry will continue.</w:t>
            </w:r>
          </w:p>
        </w:tc>
      </w:tr>
    </w:tbl>
    <w:p w14:paraId="2BE039C8" w14:textId="77777777" w:rsidR="00834967" w:rsidRDefault="00834967" w:rsidP="00834967">
      <w:pPr>
        <w:rPr>
          <w:b/>
          <w:sz w:val="28"/>
          <w:szCs w:val="28"/>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834967" w:rsidRPr="00834967" w14:paraId="559D8B9B" w14:textId="77777777" w:rsidTr="00834967">
        <w:tc>
          <w:tcPr>
            <w:tcW w:w="9238" w:type="dxa"/>
            <w:gridSpan w:val="2"/>
            <w:shd w:val="clear" w:color="auto" w:fill="7030A0"/>
          </w:tcPr>
          <w:p w14:paraId="54157104" w14:textId="77777777" w:rsidR="00834967" w:rsidRPr="00834967" w:rsidRDefault="00281F6D" w:rsidP="00834967">
            <w:pPr>
              <w:jc w:val="center"/>
              <w:rPr>
                <w:rFonts w:cs="Arial"/>
                <w:b/>
                <w:color w:val="FFFFFF" w:themeColor="background1"/>
              </w:rPr>
            </w:pPr>
            <w:hyperlink r:id="rId9" w:history="1">
              <w:r w:rsidR="00834967" w:rsidRPr="00834967">
                <w:rPr>
                  <w:rStyle w:val="Hyperlink"/>
                  <w:b/>
                  <w:color w:val="FFFFFF" w:themeColor="background1"/>
                </w:rPr>
                <w:t>Safeguarding Children</w:t>
              </w:r>
            </w:hyperlink>
          </w:p>
        </w:tc>
      </w:tr>
      <w:tr w:rsidR="00834967" w:rsidRPr="00657E57" w14:paraId="424FA3AF" w14:textId="77777777" w:rsidTr="00834967">
        <w:tc>
          <w:tcPr>
            <w:tcW w:w="2268" w:type="dxa"/>
            <w:shd w:val="clear" w:color="auto" w:fill="E6E6E6"/>
          </w:tcPr>
          <w:p w14:paraId="18019B64"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10B31C41" w14:textId="77777777" w:rsidR="00834967" w:rsidRPr="00657E57" w:rsidRDefault="00834967" w:rsidP="00834967">
            <w:pPr>
              <w:rPr>
                <w:rFonts w:cs="Arial"/>
              </w:rPr>
            </w:pPr>
            <w:r w:rsidRPr="00657E57">
              <w:rPr>
                <w:rFonts w:cs="Arial"/>
              </w:rPr>
              <w:t>Local Authority</w:t>
            </w:r>
          </w:p>
        </w:tc>
      </w:tr>
      <w:tr w:rsidR="00834967" w:rsidRPr="00657E57" w14:paraId="04A5D6E6" w14:textId="77777777" w:rsidTr="00834967">
        <w:tc>
          <w:tcPr>
            <w:tcW w:w="2268" w:type="dxa"/>
            <w:shd w:val="clear" w:color="auto" w:fill="E6E6E6"/>
          </w:tcPr>
          <w:p w14:paraId="044741A7"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3CAE4550" w14:textId="77777777" w:rsidR="00834967" w:rsidRPr="00657E57" w:rsidRDefault="00834967" w:rsidP="00834967">
            <w:pPr>
              <w:rPr>
                <w:rFonts w:cs="Arial"/>
              </w:rPr>
            </w:pPr>
            <w:r w:rsidRPr="00657E57">
              <w:rPr>
                <w:rFonts w:cs="Arial"/>
              </w:rPr>
              <w:t>Health, Education, Police, Housing, Regulators, Legal, Commissioning, Probation, VCS, Independent Sector</w:t>
            </w:r>
          </w:p>
        </w:tc>
      </w:tr>
      <w:tr w:rsidR="00834967" w:rsidRPr="00657E57" w14:paraId="15511D16" w14:textId="77777777" w:rsidTr="00834967">
        <w:tc>
          <w:tcPr>
            <w:tcW w:w="2268" w:type="dxa"/>
            <w:shd w:val="clear" w:color="auto" w:fill="E6E6E6"/>
          </w:tcPr>
          <w:p w14:paraId="6931D7F2"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38364711" w14:textId="77777777" w:rsidR="00834967" w:rsidRPr="00657E57" w:rsidRDefault="00834967" w:rsidP="00834967">
            <w:pPr>
              <w:rPr>
                <w:rFonts w:cs="Arial"/>
              </w:rPr>
            </w:pPr>
            <w:r w:rsidRPr="00657E57">
              <w:rPr>
                <w:rFonts w:cs="Arial"/>
                <w:b/>
              </w:rPr>
              <w:t xml:space="preserve">Child </w:t>
            </w:r>
            <w:r>
              <w:rPr>
                <w:rFonts w:cs="Arial"/>
              </w:rPr>
              <w:t xml:space="preserve">(aged under </w:t>
            </w:r>
            <w:r w:rsidRPr="00657E57">
              <w:rPr>
                <w:rFonts w:cs="Arial"/>
              </w:rPr>
              <w:t xml:space="preserve">18) </w:t>
            </w:r>
            <w:r w:rsidRPr="00657E57">
              <w:rPr>
                <w:rFonts w:ascii="Arial Bold" w:hAnsi="Arial Bold"/>
                <w:b/>
                <w:szCs w:val="18"/>
                <w:lang w:val="en"/>
              </w:rPr>
              <w:t xml:space="preserve">is experiencing or may already have experienced abuse or neglect or is suffering, or likely to suffer 'significant harm' in the future. </w:t>
            </w:r>
            <w:r w:rsidRPr="00657E57">
              <w:rPr>
                <w:szCs w:val="18"/>
                <w:lang w:val="en"/>
              </w:rPr>
              <w:t>This includes Child Sexual Exploitation (CSE).</w:t>
            </w:r>
            <w:r w:rsidRPr="00657E57">
              <w:rPr>
                <w:rFonts w:ascii="Arial Bold" w:hAnsi="Arial Bold"/>
                <w:szCs w:val="18"/>
                <w:lang w:val="en"/>
              </w:rPr>
              <w:t xml:space="preserve"> </w:t>
            </w:r>
          </w:p>
        </w:tc>
      </w:tr>
      <w:tr w:rsidR="00834967" w:rsidRPr="00657E57" w14:paraId="4F6FC130" w14:textId="77777777" w:rsidTr="00834967">
        <w:tc>
          <w:tcPr>
            <w:tcW w:w="2268" w:type="dxa"/>
            <w:shd w:val="clear" w:color="auto" w:fill="E6E6E6"/>
          </w:tcPr>
          <w:p w14:paraId="63D59A86"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1495F61A" w14:textId="77777777" w:rsidR="00834967" w:rsidRPr="00657E57" w:rsidRDefault="00834967" w:rsidP="00834967">
            <w:pPr>
              <w:rPr>
                <w:rFonts w:cs="Arial"/>
              </w:rPr>
            </w:pPr>
            <w:r w:rsidRPr="00657E57">
              <w:rPr>
                <w:rFonts w:cs="Arial"/>
              </w:rPr>
              <w:t>Refer by telephone, to:</w:t>
            </w:r>
          </w:p>
          <w:p w14:paraId="580EFABE" w14:textId="77777777" w:rsidR="00834967" w:rsidRPr="00657E57" w:rsidRDefault="00834967" w:rsidP="00107991">
            <w:pPr>
              <w:numPr>
                <w:ilvl w:val="0"/>
                <w:numId w:val="5"/>
              </w:numPr>
              <w:rPr>
                <w:rFonts w:cs="Arial"/>
              </w:rPr>
            </w:pPr>
            <w:r w:rsidRPr="00657E57">
              <w:rPr>
                <w:rFonts w:cs="Arial"/>
              </w:rPr>
              <w:t>Initial Response Service (0191 277 2500)</w:t>
            </w:r>
          </w:p>
          <w:p w14:paraId="51B626CF" w14:textId="77777777" w:rsidR="00834967" w:rsidRPr="00657E57" w:rsidRDefault="00834967" w:rsidP="00834967">
            <w:pPr>
              <w:rPr>
                <w:rFonts w:cs="Arial"/>
              </w:rPr>
            </w:pPr>
            <w:r w:rsidRPr="00657E57">
              <w:rPr>
                <w:rFonts w:cs="Arial"/>
              </w:rPr>
              <w:t>OR</w:t>
            </w:r>
          </w:p>
          <w:p w14:paraId="53FBC098" w14:textId="77777777" w:rsidR="00834967" w:rsidRPr="00657E57" w:rsidRDefault="00834967" w:rsidP="00107991">
            <w:pPr>
              <w:numPr>
                <w:ilvl w:val="0"/>
                <w:numId w:val="5"/>
              </w:numPr>
              <w:rPr>
                <w:rFonts w:cs="Arial"/>
              </w:rPr>
            </w:pPr>
            <w:r w:rsidRPr="00657E57">
              <w:rPr>
                <w:rFonts w:cs="Arial"/>
              </w:rPr>
              <w:t xml:space="preserve">Out of Hours – 0191 </w:t>
            </w:r>
            <w:r>
              <w:rPr>
                <w:rFonts w:cs="Arial"/>
              </w:rPr>
              <w:t>278 7878</w:t>
            </w:r>
          </w:p>
          <w:p w14:paraId="7C18688C" w14:textId="77777777" w:rsidR="00834967" w:rsidRPr="00657E57" w:rsidRDefault="00834967" w:rsidP="00834967">
            <w:pPr>
              <w:rPr>
                <w:rFonts w:cs="Arial"/>
              </w:rPr>
            </w:pPr>
            <w:r w:rsidRPr="00657E57">
              <w:rPr>
                <w:rFonts w:cs="Arial"/>
              </w:rPr>
              <w:t>Alert to be followed up in writing (within 48 hours)</w:t>
            </w:r>
          </w:p>
        </w:tc>
      </w:tr>
      <w:tr w:rsidR="00834967" w:rsidRPr="00657E57" w14:paraId="440989A0" w14:textId="77777777" w:rsidTr="00834967">
        <w:tc>
          <w:tcPr>
            <w:tcW w:w="2268" w:type="dxa"/>
            <w:shd w:val="clear" w:color="auto" w:fill="E6E6E6"/>
          </w:tcPr>
          <w:p w14:paraId="0D5331DF" w14:textId="77777777" w:rsidR="00834967" w:rsidRPr="00657E57" w:rsidRDefault="00834967" w:rsidP="00834967">
            <w:pPr>
              <w:rPr>
                <w:rFonts w:cs="Arial"/>
                <w:b/>
              </w:rPr>
            </w:pPr>
            <w:r w:rsidRPr="00657E57">
              <w:rPr>
                <w:rFonts w:cs="Arial"/>
                <w:b/>
              </w:rPr>
              <w:t>Timescales following referral</w:t>
            </w:r>
          </w:p>
        </w:tc>
        <w:tc>
          <w:tcPr>
            <w:tcW w:w="6970" w:type="dxa"/>
            <w:shd w:val="clear" w:color="auto" w:fill="auto"/>
          </w:tcPr>
          <w:p w14:paraId="4BACECE9" w14:textId="77777777" w:rsidR="00834967" w:rsidRPr="00657E57" w:rsidRDefault="00834967" w:rsidP="00834967">
            <w:pPr>
              <w:rPr>
                <w:rFonts w:cs="Arial"/>
              </w:rPr>
            </w:pPr>
            <w:r w:rsidRPr="00657E57">
              <w:rPr>
                <w:rFonts w:cs="Arial"/>
              </w:rPr>
              <w:t xml:space="preserve">A decision will be made by Children’s Social Care within </w:t>
            </w:r>
            <w:r>
              <w:rPr>
                <w:rFonts w:cs="Arial"/>
              </w:rPr>
              <w:t>three</w:t>
            </w:r>
            <w:r w:rsidRPr="00657E57">
              <w:rPr>
                <w:rFonts w:cs="Arial"/>
              </w:rPr>
              <w:t xml:space="preserve"> working days on whether safeguarding children procedures need to continue.</w:t>
            </w:r>
          </w:p>
        </w:tc>
      </w:tr>
    </w:tbl>
    <w:p w14:paraId="3CF196F1" w14:textId="77777777" w:rsidR="00834967" w:rsidRDefault="00834967" w:rsidP="00834967">
      <w:pPr>
        <w:rPr>
          <w:b/>
          <w:sz w:val="28"/>
          <w:szCs w:val="28"/>
        </w:rPr>
      </w:pPr>
    </w:p>
    <w:p w14:paraId="1B3870E6" w14:textId="77777777" w:rsidR="00834967" w:rsidRDefault="00834967" w:rsidP="00834967">
      <w:pPr>
        <w:rPr>
          <w:b/>
          <w:sz w:val="28"/>
          <w:szCs w:val="28"/>
        </w:rPr>
      </w:pPr>
      <w:r>
        <w:rPr>
          <w:b/>
          <w:sz w:val="28"/>
          <w:szCs w:val="28"/>
        </w:rPr>
        <w:t>Risks from serious/violent offenders</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834967" w:rsidRPr="00657E57" w14:paraId="2586DA64" w14:textId="77777777" w:rsidTr="00834967">
        <w:tc>
          <w:tcPr>
            <w:tcW w:w="9238" w:type="dxa"/>
            <w:gridSpan w:val="2"/>
            <w:shd w:val="clear" w:color="auto" w:fill="7030A0"/>
          </w:tcPr>
          <w:p w14:paraId="5F4FD6C2" w14:textId="77777777" w:rsidR="00834967" w:rsidRPr="00834967" w:rsidRDefault="00281F6D" w:rsidP="00834967">
            <w:pPr>
              <w:jc w:val="center"/>
              <w:rPr>
                <w:rFonts w:cs="Arial"/>
                <w:b/>
                <w:color w:val="FFFFFF" w:themeColor="background1"/>
              </w:rPr>
            </w:pPr>
            <w:hyperlink r:id="rId10" w:history="1">
              <w:r w:rsidR="00834967" w:rsidRPr="00834967">
                <w:rPr>
                  <w:rStyle w:val="Hyperlink"/>
                  <w:b/>
                  <w:color w:val="FFFFFF" w:themeColor="background1"/>
                </w:rPr>
                <w:t>MAPPA/PDP</w:t>
              </w:r>
            </w:hyperlink>
          </w:p>
          <w:p w14:paraId="14EEBAF4" w14:textId="77777777" w:rsidR="00834967" w:rsidRPr="00657E57" w:rsidRDefault="00834967" w:rsidP="00834967">
            <w:pPr>
              <w:jc w:val="center"/>
              <w:rPr>
                <w:rFonts w:cs="Arial"/>
              </w:rPr>
            </w:pPr>
            <w:r w:rsidRPr="00834967">
              <w:rPr>
                <w:rFonts w:cs="Arial"/>
                <w:color w:val="FFFFFF" w:themeColor="background1"/>
              </w:rPr>
              <w:t>Multi Agency Public Protection Arrangements/Potentially Dangerous Person</w:t>
            </w:r>
          </w:p>
        </w:tc>
      </w:tr>
      <w:tr w:rsidR="00834967" w:rsidRPr="00657E57" w14:paraId="07CEB5BF" w14:textId="77777777" w:rsidTr="00834967">
        <w:tc>
          <w:tcPr>
            <w:tcW w:w="2268" w:type="dxa"/>
            <w:shd w:val="clear" w:color="auto" w:fill="E0E0E0"/>
          </w:tcPr>
          <w:p w14:paraId="4174E733"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3CD66432" w14:textId="77777777" w:rsidR="00834967" w:rsidRPr="00657E57" w:rsidRDefault="00834967" w:rsidP="00834967">
            <w:pPr>
              <w:rPr>
                <w:rFonts w:cs="Arial"/>
              </w:rPr>
            </w:pPr>
            <w:r w:rsidRPr="00657E57">
              <w:rPr>
                <w:rFonts w:cs="Arial"/>
              </w:rPr>
              <w:t>Probation</w:t>
            </w:r>
          </w:p>
        </w:tc>
      </w:tr>
      <w:tr w:rsidR="00834967" w:rsidRPr="00657E57" w14:paraId="712B19FA" w14:textId="77777777" w:rsidTr="00834967">
        <w:tc>
          <w:tcPr>
            <w:tcW w:w="2268" w:type="dxa"/>
            <w:shd w:val="clear" w:color="auto" w:fill="E0E0E0"/>
          </w:tcPr>
          <w:p w14:paraId="201F233A"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65971C71" w14:textId="77777777" w:rsidR="00834967" w:rsidRPr="00657E57" w:rsidRDefault="00834967" w:rsidP="00834967">
            <w:pPr>
              <w:rPr>
                <w:rFonts w:cs="Arial"/>
              </w:rPr>
            </w:pPr>
            <w:r w:rsidRPr="00657E57">
              <w:rPr>
                <w:rFonts w:cs="Arial"/>
              </w:rPr>
              <w:t>Police, Housing, Health, Local Authority, Independent Sector, VCS, Prison Service</w:t>
            </w:r>
          </w:p>
        </w:tc>
      </w:tr>
      <w:tr w:rsidR="00834967" w:rsidRPr="00657E57" w14:paraId="7AB4D261" w14:textId="77777777" w:rsidTr="00834967">
        <w:tc>
          <w:tcPr>
            <w:tcW w:w="2268" w:type="dxa"/>
            <w:shd w:val="clear" w:color="auto" w:fill="E0E0E0"/>
          </w:tcPr>
          <w:p w14:paraId="1D90807C"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4B9DE7D8" w14:textId="77777777" w:rsidR="00834967" w:rsidRPr="000D17A1" w:rsidRDefault="00834967" w:rsidP="00834967">
            <w:pPr>
              <w:autoSpaceDE w:val="0"/>
              <w:autoSpaceDN w:val="0"/>
              <w:adjustRightInd w:val="0"/>
              <w:rPr>
                <w:rFonts w:cs="Arial"/>
              </w:rPr>
            </w:pPr>
            <w:r w:rsidRPr="000D17A1">
              <w:rPr>
                <w:rFonts w:cs="Arial"/>
              </w:rPr>
              <w:t xml:space="preserve">Referral into </w:t>
            </w:r>
            <w:r w:rsidRPr="000D17A1">
              <w:rPr>
                <w:rFonts w:cs="Arial"/>
                <w:b/>
              </w:rPr>
              <w:t>MAPPA</w:t>
            </w:r>
            <w:r w:rsidRPr="000D17A1">
              <w:rPr>
                <w:rFonts w:cs="Arial"/>
              </w:rPr>
              <w:t xml:space="preserve"> occurs when </w:t>
            </w:r>
            <w:r w:rsidRPr="000D17A1">
              <w:rPr>
                <w:rFonts w:ascii="Helvetica" w:hAnsi="Helvetica" w:cs="Helvetica"/>
              </w:rPr>
              <w:t xml:space="preserve">offenders assessed as posing a high or very high risk of causing serious harm and where the risk posed requires management at a senior level through a multi-agency collaboration. </w:t>
            </w:r>
            <w:r w:rsidRPr="000D17A1">
              <w:rPr>
                <w:rFonts w:cs="Arial"/>
              </w:rPr>
              <w:t>Registered sex offender (category 1); violent or other sex offender (category 2); other offender, where their previous offence suggests they may cause serious harm to the public (category 3).</w:t>
            </w:r>
          </w:p>
          <w:p w14:paraId="03D4184C" w14:textId="77777777" w:rsidR="00834967" w:rsidRPr="00657E57" w:rsidRDefault="00834967" w:rsidP="00834967">
            <w:pPr>
              <w:autoSpaceDE w:val="0"/>
              <w:autoSpaceDN w:val="0"/>
              <w:adjustRightInd w:val="0"/>
              <w:rPr>
                <w:rFonts w:cs="Arial"/>
                <w:b/>
                <w:szCs w:val="22"/>
              </w:rPr>
            </w:pPr>
            <w:r w:rsidRPr="000D17A1">
              <w:rPr>
                <w:rFonts w:cs="Arial"/>
                <w:szCs w:val="22"/>
              </w:rPr>
              <w:t xml:space="preserve">Referral into </w:t>
            </w:r>
            <w:r w:rsidRPr="000D17A1">
              <w:rPr>
                <w:rFonts w:cs="Arial"/>
                <w:b/>
                <w:szCs w:val="22"/>
              </w:rPr>
              <w:t>PDP</w:t>
            </w:r>
            <w:r w:rsidRPr="000D17A1">
              <w:rPr>
                <w:rFonts w:cs="Arial"/>
                <w:szCs w:val="22"/>
              </w:rPr>
              <w:t xml:space="preserve"> occurs when person who is not eligible for management under MAPPA but whose behaviour gives reasonable grounds for believing that there is a present likelihood of them committing an offence or offences that will cause serious harm'</w:t>
            </w:r>
            <w:r w:rsidRPr="00657E57">
              <w:rPr>
                <w:rFonts w:cs="Arial"/>
                <w:b/>
                <w:szCs w:val="22"/>
              </w:rPr>
              <w:t xml:space="preserve"> </w:t>
            </w:r>
            <w:r w:rsidRPr="00657E57">
              <w:rPr>
                <w:rFonts w:cs="Arial"/>
                <w:b/>
                <w:szCs w:val="22"/>
              </w:rPr>
              <w:br/>
            </w:r>
            <w:r w:rsidRPr="00657E57">
              <w:rPr>
                <w:rFonts w:cs="Arial"/>
                <w:szCs w:val="22"/>
              </w:rPr>
              <w:t>A 'present likelihood' reflects 'imminence' and that the potential event is more likely than not to happen</w:t>
            </w:r>
          </w:p>
        </w:tc>
      </w:tr>
      <w:tr w:rsidR="00834967" w:rsidRPr="00657E57" w14:paraId="0B3511AE" w14:textId="77777777" w:rsidTr="00834967">
        <w:tc>
          <w:tcPr>
            <w:tcW w:w="2268" w:type="dxa"/>
            <w:shd w:val="clear" w:color="auto" w:fill="E0E0E0"/>
          </w:tcPr>
          <w:p w14:paraId="05F7CAFA"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0E32967D" w14:textId="77777777" w:rsidR="00834967" w:rsidRPr="00657E57" w:rsidRDefault="00834967" w:rsidP="00834967">
            <w:pPr>
              <w:rPr>
                <w:rFonts w:cs="Arial"/>
                <w:szCs w:val="22"/>
              </w:rPr>
            </w:pPr>
            <w:r w:rsidRPr="00657E57">
              <w:rPr>
                <w:rFonts w:cs="Arial"/>
                <w:szCs w:val="22"/>
              </w:rPr>
              <w:t xml:space="preserve">All MAPPA and PDP referrals should be sent via secure email to the central MAPPA mailbox: </w:t>
            </w:r>
            <w:hyperlink r:id="rId11" w:history="1">
              <w:r w:rsidRPr="00657E57">
                <w:rPr>
                  <w:rStyle w:val="Hyperlink"/>
                  <w:szCs w:val="22"/>
                </w:rPr>
                <w:t>nps.mappa.northumbria@northumbria.probation.gsi.gov.uk</w:t>
              </w:r>
            </w:hyperlink>
            <w:r w:rsidRPr="00657E57">
              <w:rPr>
                <w:rFonts w:cs="Arial"/>
                <w:szCs w:val="22"/>
              </w:rPr>
              <w:t xml:space="preserve"> </w:t>
            </w:r>
          </w:p>
          <w:p w14:paraId="45C3FFB1" w14:textId="77777777" w:rsidR="00834967" w:rsidRPr="00657E57" w:rsidRDefault="00834967" w:rsidP="00834967">
            <w:pPr>
              <w:rPr>
                <w:rFonts w:cs="Arial"/>
                <w:szCs w:val="22"/>
              </w:rPr>
            </w:pPr>
            <w:r w:rsidRPr="00657E57">
              <w:rPr>
                <w:rFonts w:cs="Arial"/>
                <w:szCs w:val="22"/>
              </w:rPr>
              <w:t>Referral forms for MAPPA and PDP can be obtained from this email address.</w:t>
            </w:r>
          </w:p>
        </w:tc>
      </w:tr>
      <w:tr w:rsidR="00834967" w:rsidRPr="00657E57" w14:paraId="3F2B32A4" w14:textId="77777777" w:rsidTr="00834967">
        <w:tc>
          <w:tcPr>
            <w:tcW w:w="2268" w:type="dxa"/>
            <w:shd w:val="clear" w:color="auto" w:fill="E0E0E0"/>
          </w:tcPr>
          <w:p w14:paraId="0DF3F4AA" w14:textId="77777777" w:rsidR="00834967" w:rsidRPr="00657E57" w:rsidRDefault="00834967" w:rsidP="00834967">
            <w:pPr>
              <w:rPr>
                <w:rFonts w:cs="Arial"/>
                <w:b/>
              </w:rPr>
            </w:pPr>
            <w:r w:rsidRPr="00657E57">
              <w:rPr>
                <w:rFonts w:cs="Arial"/>
                <w:b/>
              </w:rPr>
              <w:t>Timescales following referral</w:t>
            </w:r>
          </w:p>
        </w:tc>
        <w:tc>
          <w:tcPr>
            <w:tcW w:w="6970" w:type="dxa"/>
            <w:shd w:val="clear" w:color="auto" w:fill="auto"/>
          </w:tcPr>
          <w:p w14:paraId="62FDD6ED" w14:textId="77777777" w:rsidR="00834967" w:rsidRPr="00657E57" w:rsidRDefault="00834967" w:rsidP="00834967">
            <w:pPr>
              <w:rPr>
                <w:rFonts w:cs="Arial"/>
                <w:szCs w:val="22"/>
              </w:rPr>
            </w:pPr>
            <w:r w:rsidRPr="00657E57">
              <w:rPr>
                <w:rFonts w:cs="Arial"/>
                <w:szCs w:val="22"/>
              </w:rPr>
              <w:t xml:space="preserve">The MAPPA Screening Panel meets weekly (Friday) and considers both MAPPA and PDP referrals received by the Thursday of that week. </w:t>
            </w:r>
            <w:r w:rsidRPr="00657E57">
              <w:rPr>
                <w:rFonts w:cs="Arial"/>
                <w:szCs w:val="22"/>
              </w:rPr>
              <w:br/>
              <w:t>Feedback to referrer is sent out within 10 days of receipt of the referral.</w:t>
            </w:r>
          </w:p>
        </w:tc>
      </w:tr>
    </w:tbl>
    <w:p w14:paraId="774290AC" w14:textId="77777777" w:rsidR="00834967" w:rsidRDefault="00834967" w:rsidP="00834967">
      <w:pPr>
        <w:rPr>
          <w:b/>
          <w:sz w:val="28"/>
          <w:szCs w:val="28"/>
        </w:rPr>
      </w:pPr>
    </w:p>
    <w:p w14:paraId="4FB5012E" w14:textId="77777777" w:rsidR="00834967" w:rsidRDefault="00834967" w:rsidP="00834967">
      <w:pPr>
        <w:rPr>
          <w:b/>
          <w:sz w:val="28"/>
          <w:szCs w:val="28"/>
        </w:rPr>
      </w:pPr>
    </w:p>
    <w:p w14:paraId="6DFB34B9" w14:textId="77777777" w:rsidR="00834967" w:rsidRDefault="00834967" w:rsidP="00834967">
      <w:pPr>
        <w:rPr>
          <w:b/>
          <w:sz w:val="28"/>
          <w:szCs w:val="28"/>
        </w:rPr>
      </w:pPr>
    </w:p>
    <w:p w14:paraId="59229671" w14:textId="77777777" w:rsidR="00834967" w:rsidRDefault="00834967" w:rsidP="00834967">
      <w:pPr>
        <w:rPr>
          <w:b/>
          <w:sz w:val="28"/>
          <w:szCs w:val="28"/>
        </w:rPr>
      </w:pPr>
    </w:p>
    <w:p w14:paraId="1EF242FF" w14:textId="77777777" w:rsidR="00834967" w:rsidRDefault="00834967" w:rsidP="00834967">
      <w:pPr>
        <w:rPr>
          <w:b/>
          <w:sz w:val="28"/>
          <w:szCs w:val="28"/>
        </w:rPr>
      </w:pPr>
    </w:p>
    <w:p w14:paraId="4F00F139" w14:textId="77777777" w:rsidR="00834967" w:rsidRDefault="00834967" w:rsidP="00834967">
      <w:pPr>
        <w:rPr>
          <w:b/>
          <w:sz w:val="28"/>
          <w:szCs w:val="28"/>
        </w:rPr>
      </w:pPr>
    </w:p>
    <w:p w14:paraId="72330792" w14:textId="77777777" w:rsidR="00834967" w:rsidRDefault="00834967" w:rsidP="00834967">
      <w:pPr>
        <w:rPr>
          <w:b/>
          <w:sz w:val="28"/>
          <w:szCs w:val="28"/>
        </w:rPr>
      </w:pPr>
    </w:p>
    <w:p w14:paraId="2AB67383" w14:textId="77777777" w:rsidR="00834967" w:rsidRDefault="00834967" w:rsidP="00834967">
      <w:pPr>
        <w:rPr>
          <w:b/>
          <w:sz w:val="28"/>
          <w:szCs w:val="28"/>
        </w:rPr>
      </w:pPr>
    </w:p>
    <w:p w14:paraId="347A2BA7" w14:textId="77777777" w:rsidR="00834967" w:rsidRDefault="00834967" w:rsidP="00834967">
      <w:pPr>
        <w:rPr>
          <w:b/>
          <w:sz w:val="28"/>
          <w:szCs w:val="28"/>
        </w:rPr>
      </w:pPr>
    </w:p>
    <w:p w14:paraId="4DE96EF3" w14:textId="77777777" w:rsidR="00834967" w:rsidRDefault="00834967" w:rsidP="00834967">
      <w:pPr>
        <w:rPr>
          <w:b/>
          <w:sz w:val="28"/>
          <w:szCs w:val="28"/>
        </w:rPr>
        <w:sectPr w:rsidR="00834967" w:rsidSect="00834967">
          <w:footerReference w:type="even" r:id="rId12"/>
          <w:footerReference w:type="default" r:id="rId13"/>
          <w:pgSz w:w="11909" w:h="16834" w:code="9"/>
          <w:pgMar w:top="709" w:right="1440" w:bottom="1134" w:left="1440" w:header="706" w:footer="706" w:gutter="0"/>
          <w:cols w:space="708"/>
          <w:docGrid w:linePitch="360"/>
        </w:sectPr>
      </w:pPr>
    </w:p>
    <w:p w14:paraId="0F522C7C" w14:textId="77777777" w:rsidR="00834967" w:rsidRDefault="00834967" w:rsidP="00834967">
      <w:pPr>
        <w:rPr>
          <w:b/>
          <w:sz w:val="28"/>
          <w:szCs w:val="28"/>
        </w:rPr>
      </w:pPr>
      <w:r>
        <w:rPr>
          <w:b/>
          <w:sz w:val="28"/>
          <w:szCs w:val="28"/>
        </w:rPr>
        <w:lastRenderedPageBreak/>
        <w:t>Section 2: Non Statutory</w:t>
      </w:r>
    </w:p>
    <w:p w14:paraId="5E813A1B" w14:textId="77777777" w:rsidR="00834967" w:rsidRDefault="00834967" w:rsidP="00834967">
      <w:r>
        <w:t xml:space="preserve">These processes are non-statutory but are equally as helpful in supporting people who may be at risk when the statutory procedures above do not apply. </w:t>
      </w:r>
    </w:p>
    <w:p w14:paraId="1E9F0C55" w14:textId="77777777" w:rsidR="00834967" w:rsidRDefault="00834967" w:rsidP="00834967"/>
    <w:p w14:paraId="56A8C948" w14:textId="77777777" w:rsidR="00834967" w:rsidRDefault="00834967" w:rsidP="00834967">
      <w:pPr>
        <w:rPr>
          <w:b/>
          <w:sz w:val="28"/>
          <w:szCs w:val="28"/>
        </w:rPr>
      </w:pPr>
      <w:r w:rsidRPr="00427FE1">
        <w:rPr>
          <w:b/>
          <w:sz w:val="28"/>
          <w:szCs w:val="28"/>
        </w:rPr>
        <w:t xml:space="preserve">Risks </w:t>
      </w:r>
      <w:r>
        <w:rPr>
          <w:b/>
          <w:sz w:val="28"/>
          <w:szCs w:val="28"/>
        </w:rPr>
        <w:t>due to domestic violence</w:t>
      </w:r>
      <w:r w:rsidRPr="00427FE1">
        <w:rPr>
          <w:b/>
          <w:sz w:val="28"/>
          <w:szCs w:val="28"/>
        </w:rPr>
        <w:t xml:space="preserve">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12E87911" w14:textId="77777777" w:rsidTr="000D17A1">
        <w:tc>
          <w:tcPr>
            <w:tcW w:w="9238" w:type="dxa"/>
            <w:gridSpan w:val="2"/>
            <w:shd w:val="clear" w:color="auto" w:fill="7030A0"/>
          </w:tcPr>
          <w:p w14:paraId="243EB609" w14:textId="77777777" w:rsidR="00834967" w:rsidRPr="000D17A1" w:rsidRDefault="00281F6D" w:rsidP="00834967">
            <w:pPr>
              <w:jc w:val="center"/>
              <w:rPr>
                <w:rFonts w:cs="Arial"/>
                <w:b/>
                <w:color w:val="FFFFFF" w:themeColor="background1"/>
              </w:rPr>
            </w:pPr>
            <w:hyperlink r:id="rId14" w:history="1">
              <w:r w:rsidR="00834967" w:rsidRPr="000D17A1">
                <w:rPr>
                  <w:rStyle w:val="Hyperlink"/>
                  <w:b/>
                  <w:color w:val="FFFFFF" w:themeColor="background1"/>
                </w:rPr>
                <w:t>MARAC</w:t>
              </w:r>
            </w:hyperlink>
          </w:p>
          <w:p w14:paraId="14DA39CF" w14:textId="77777777" w:rsidR="00834967" w:rsidRPr="000D17A1" w:rsidRDefault="00834967" w:rsidP="00834967">
            <w:pPr>
              <w:jc w:val="center"/>
              <w:rPr>
                <w:rFonts w:cs="Arial"/>
                <w:color w:val="FFFFFF" w:themeColor="background1"/>
              </w:rPr>
            </w:pPr>
            <w:r w:rsidRPr="000D17A1">
              <w:rPr>
                <w:rFonts w:cs="Arial"/>
                <w:color w:val="FFFFFF" w:themeColor="background1"/>
              </w:rPr>
              <w:t>Multi Agency Risk Assessment Conference</w:t>
            </w:r>
          </w:p>
        </w:tc>
      </w:tr>
      <w:tr w:rsidR="00834967" w:rsidRPr="00657E57" w14:paraId="414D26E0" w14:textId="77777777" w:rsidTr="00834967">
        <w:trPr>
          <w:trHeight w:val="183"/>
        </w:trPr>
        <w:tc>
          <w:tcPr>
            <w:tcW w:w="2268" w:type="dxa"/>
            <w:shd w:val="clear" w:color="auto" w:fill="E0E0E0"/>
          </w:tcPr>
          <w:p w14:paraId="7B7943DC"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762D4215" w14:textId="77777777" w:rsidR="00834967" w:rsidRPr="00657E57" w:rsidRDefault="00834967" w:rsidP="00834967">
            <w:pPr>
              <w:rPr>
                <w:rFonts w:cs="Arial"/>
              </w:rPr>
            </w:pPr>
            <w:r w:rsidRPr="00657E57">
              <w:rPr>
                <w:rFonts w:cs="Arial"/>
              </w:rPr>
              <w:t>Police</w:t>
            </w:r>
          </w:p>
        </w:tc>
      </w:tr>
      <w:tr w:rsidR="00834967" w:rsidRPr="00657E57" w14:paraId="3A681FB6" w14:textId="77777777" w:rsidTr="00834967">
        <w:tc>
          <w:tcPr>
            <w:tcW w:w="2268" w:type="dxa"/>
            <w:shd w:val="clear" w:color="auto" w:fill="E0E0E0"/>
          </w:tcPr>
          <w:p w14:paraId="47D933F8"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72AB8DB4" w14:textId="77777777" w:rsidR="00834967" w:rsidRPr="00657E57" w:rsidRDefault="00834967" w:rsidP="00834967">
            <w:pPr>
              <w:rPr>
                <w:rFonts w:cs="Arial"/>
              </w:rPr>
            </w:pPr>
            <w:r w:rsidRPr="00657E57">
              <w:rPr>
                <w:rFonts w:cs="Arial"/>
              </w:rPr>
              <w:t>Housing, Health, Local Authority, Victim Support, VCS, Independent Sector, Probation</w:t>
            </w:r>
          </w:p>
        </w:tc>
      </w:tr>
      <w:tr w:rsidR="00834967" w:rsidRPr="00657E57" w14:paraId="642C6F5C" w14:textId="77777777" w:rsidTr="00834967">
        <w:tc>
          <w:tcPr>
            <w:tcW w:w="2268" w:type="dxa"/>
            <w:shd w:val="clear" w:color="auto" w:fill="E0E0E0"/>
          </w:tcPr>
          <w:p w14:paraId="4795638E"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491921A4" w14:textId="77777777" w:rsidR="00834967" w:rsidRPr="00657E57" w:rsidRDefault="00834967" w:rsidP="00834967">
            <w:pPr>
              <w:rPr>
                <w:rFonts w:cs="Arial"/>
                <w:b/>
              </w:rPr>
            </w:pPr>
            <w:r w:rsidRPr="00657E57">
              <w:rPr>
                <w:rFonts w:cs="Arial"/>
                <w:b/>
              </w:rPr>
              <w:t xml:space="preserve">High risk domestic abuse cases </w:t>
            </w:r>
            <w:r w:rsidRPr="00657E57">
              <w:rPr>
                <w:rFonts w:cs="Arial"/>
              </w:rPr>
              <w:t>(use CAADA-DASH Risk Identification Checklist to see if criteria applies)</w:t>
            </w:r>
          </w:p>
        </w:tc>
      </w:tr>
      <w:tr w:rsidR="00834967" w:rsidRPr="00657E57" w14:paraId="07BFC369" w14:textId="77777777" w:rsidTr="00834967">
        <w:tc>
          <w:tcPr>
            <w:tcW w:w="2268" w:type="dxa"/>
            <w:shd w:val="clear" w:color="auto" w:fill="E0E0E0"/>
          </w:tcPr>
          <w:p w14:paraId="17B91403"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324166AC" w14:textId="77777777" w:rsidR="00834967" w:rsidRPr="00657E57" w:rsidRDefault="00834967" w:rsidP="00834967">
            <w:pPr>
              <w:rPr>
                <w:rFonts w:cs="Arial"/>
              </w:rPr>
            </w:pPr>
            <w:r w:rsidRPr="00657E57">
              <w:rPr>
                <w:rFonts w:cs="Arial"/>
              </w:rPr>
              <w:t xml:space="preserve">Complete MARAC referral form. </w:t>
            </w:r>
          </w:p>
          <w:p w14:paraId="120C9513" w14:textId="77777777" w:rsidR="00834967" w:rsidRPr="00657E57" w:rsidRDefault="00834967" w:rsidP="00834967">
            <w:pPr>
              <w:rPr>
                <w:rFonts w:cs="Arial"/>
              </w:rPr>
            </w:pPr>
            <w:r w:rsidRPr="00657E57">
              <w:rPr>
                <w:rFonts w:cs="Arial"/>
              </w:rPr>
              <w:t xml:space="preserve">Refer via agency Single Point of Contact (if not sure contact MARAC Coordinator via Northumbria Police 101) </w:t>
            </w:r>
          </w:p>
        </w:tc>
      </w:tr>
      <w:tr w:rsidR="00834967" w:rsidRPr="00657E57" w14:paraId="78F6821B" w14:textId="77777777" w:rsidTr="00834967">
        <w:tc>
          <w:tcPr>
            <w:tcW w:w="2268" w:type="dxa"/>
            <w:shd w:val="clear" w:color="auto" w:fill="E0E0E0"/>
          </w:tcPr>
          <w:p w14:paraId="62B84DE3" w14:textId="77777777" w:rsidR="00834967" w:rsidRPr="00657E57" w:rsidRDefault="00834967" w:rsidP="00834967">
            <w:pPr>
              <w:rPr>
                <w:rFonts w:cs="Arial"/>
                <w:b/>
              </w:rPr>
            </w:pPr>
            <w:r w:rsidRPr="00657E57">
              <w:rPr>
                <w:rFonts w:cs="Arial"/>
                <w:b/>
              </w:rPr>
              <w:t>Timescales following referral</w:t>
            </w:r>
          </w:p>
        </w:tc>
        <w:tc>
          <w:tcPr>
            <w:tcW w:w="6970" w:type="dxa"/>
            <w:shd w:val="clear" w:color="auto" w:fill="auto"/>
          </w:tcPr>
          <w:p w14:paraId="5390E6E3" w14:textId="77777777" w:rsidR="00834967" w:rsidRPr="00657E57" w:rsidRDefault="00834967" w:rsidP="00834967">
            <w:pPr>
              <w:rPr>
                <w:rFonts w:cs="Arial"/>
              </w:rPr>
            </w:pPr>
            <w:r w:rsidRPr="00657E57">
              <w:rPr>
                <w:rFonts w:cs="Arial"/>
              </w:rPr>
              <w:t>The MARAC meets fortnightly and should cases be accepted the referral will be discussed at the next possible meeting. The case is only likely to be discussed at two meetings: when it is first discussed and at the following meeting to review agreed actions. Should a further incident happen or risks change then a repeat referral should be made.</w:t>
            </w:r>
          </w:p>
        </w:tc>
      </w:tr>
    </w:tbl>
    <w:p w14:paraId="23EA3860" w14:textId="77777777" w:rsidR="00834967" w:rsidRPr="00427FE1" w:rsidRDefault="00834967" w:rsidP="00834967">
      <w:pPr>
        <w:rPr>
          <w:b/>
          <w:sz w:val="28"/>
          <w:szCs w:val="28"/>
        </w:rPr>
      </w:pPr>
    </w:p>
    <w:p w14:paraId="6B818A5F" w14:textId="77777777" w:rsidR="00834967" w:rsidRDefault="00834967" w:rsidP="00834967"/>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7EF156A4" w14:textId="77777777" w:rsidTr="000D17A1">
        <w:tc>
          <w:tcPr>
            <w:tcW w:w="9238" w:type="dxa"/>
            <w:gridSpan w:val="2"/>
            <w:shd w:val="clear" w:color="auto" w:fill="7030A0"/>
          </w:tcPr>
          <w:p w14:paraId="63A653FF" w14:textId="77777777" w:rsidR="00834967" w:rsidRPr="000D17A1" w:rsidRDefault="00834967" w:rsidP="00834967">
            <w:pPr>
              <w:jc w:val="center"/>
              <w:rPr>
                <w:rFonts w:cs="Arial"/>
                <w:b/>
                <w:color w:val="FFFFFF" w:themeColor="background1"/>
              </w:rPr>
            </w:pPr>
            <w:r w:rsidRPr="000D17A1">
              <w:rPr>
                <w:rFonts w:cs="Arial"/>
                <w:b/>
                <w:color w:val="FFFFFF" w:themeColor="background1"/>
              </w:rPr>
              <w:t>Domestic Abuse (not meeting MARAC criteria)</w:t>
            </w:r>
          </w:p>
        </w:tc>
      </w:tr>
      <w:tr w:rsidR="00834967" w:rsidRPr="00657E57" w14:paraId="11D0B514" w14:textId="77777777" w:rsidTr="00834967">
        <w:tc>
          <w:tcPr>
            <w:tcW w:w="2268" w:type="dxa"/>
            <w:shd w:val="clear" w:color="auto" w:fill="E6E6E6"/>
          </w:tcPr>
          <w:p w14:paraId="0B95DF32"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0FA04055" w14:textId="77777777" w:rsidR="00834967" w:rsidRPr="00657E57" w:rsidRDefault="00834967" w:rsidP="00834967">
            <w:pPr>
              <w:rPr>
                <w:rFonts w:cs="Arial"/>
              </w:rPr>
            </w:pPr>
            <w:r w:rsidRPr="00657E57">
              <w:rPr>
                <w:rFonts w:cs="Arial"/>
              </w:rPr>
              <w:t>Local Authority and Police</w:t>
            </w:r>
          </w:p>
        </w:tc>
      </w:tr>
      <w:tr w:rsidR="00834967" w:rsidRPr="00657E57" w14:paraId="27D08227" w14:textId="77777777" w:rsidTr="00834967">
        <w:tc>
          <w:tcPr>
            <w:tcW w:w="2268" w:type="dxa"/>
            <w:shd w:val="clear" w:color="auto" w:fill="E6E6E6"/>
          </w:tcPr>
          <w:p w14:paraId="0EBF7C96"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631B426F" w14:textId="77777777" w:rsidR="00834967" w:rsidRPr="00657E57" w:rsidRDefault="00834967" w:rsidP="00834967">
            <w:pPr>
              <w:rPr>
                <w:rFonts w:cs="Arial"/>
              </w:rPr>
            </w:pPr>
            <w:r w:rsidRPr="00657E57">
              <w:rPr>
                <w:rFonts w:cs="Arial"/>
              </w:rPr>
              <w:t>Housing, Health, Victim Support, VCS, Independent Sector, Probation</w:t>
            </w:r>
          </w:p>
        </w:tc>
      </w:tr>
      <w:tr w:rsidR="00834967" w:rsidRPr="00657E57" w14:paraId="65E07ADC" w14:textId="77777777" w:rsidTr="00834967">
        <w:tc>
          <w:tcPr>
            <w:tcW w:w="2268" w:type="dxa"/>
            <w:shd w:val="clear" w:color="auto" w:fill="E6E6E6"/>
          </w:tcPr>
          <w:p w14:paraId="051DE63E"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6716845B" w14:textId="77777777" w:rsidR="00834967" w:rsidRPr="000D17A1" w:rsidRDefault="00834967" w:rsidP="00834967">
            <w:pPr>
              <w:rPr>
                <w:rFonts w:cs="Arial"/>
              </w:rPr>
            </w:pPr>
            <w:r w:rsidRPr="000D17A1">
              <w:rPr>
                <w:szCs w:val="20"/>
                <w:lang w:val="en"/>
              </w:rPr>
              <w:t xml:space="preserve">Any incident of threatening </w:t>
            </w:r>
            <w:proofErr w:type="spellStart"/>
            <w:r w:rsidRPr="000D17A1">
              <w:rPr>
                <w:szCs w:val="20"/>
                <w:lang w:val="en"/>
              </w:rPr>
              <w:t>behaviour</w:t>
            </w:r>
            <w:proofErr w:type="spellEnd"/>
            <w:r w:rsidRPr="000D17A1">
              <w:rPr>
                <w:szCs w:val="20"/>
                <w:lang w:val="en"/>
              </w:rPr>
              <w:t>, violence or abuse (psychological, physical, sexual, financial or emotional) between adults, aged 16 and over who are or have been intimate partners or are family members, regardless of gender and sexuality</w:t>
            </w:r>
            <w:r w:rsidR="000D17A1">
              <w:rPr>
                <w:szCs w:val="20"/>
                <w:lang w:val="en"/>
              </w:rPr>
              <w:t>.</w:t>
            </w:r>
          </w:p>
        </w:tc>
      </w:tr>
      <w:tr w:rsidR="00834967" w:rsidRPr="00657E57" w14:paraId="625763A7" w14:textId="77777777" w:rsidTr="00834967">
        <w:tc>
          <w:tcPr>
            <w:tcW w:w="2268" w:type="dxa"/>
            <w:shd w:val="clear" w:color="auto" w:fill="E6E6E6"/>
          </w:tcPr>
          <w:p w14:paraId="6FD64806"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0A9602EC" w14:textId="77777777" w:rsidR="000D17A1" w:rsidRDefault="000D17A1" w:rsidP="00834967">
            <w:pPr>
              <w:rPr>
                <w:rFonts w:cs="Arial"/>
              </w:rPr>
            </w:pPr>
            <w:r>
              <w:rPr>
                <w:rFonts w:cs="Arial"/>
              </w:rPr>
              <w:t>Via safeguarding procedures if above criteria is met. Remember that children are always impacted by domestic abuse whether they are directly abused or from hearing, witnessing or intervening in incidents.</w:t>
            </w:r>
          </w:p>
          <w:p w14:paraId="37FACB36" w14:textId="77777777" w:rsidR="000D17A1" w:rsidRPr="00657E57" w:rsidRDefault="00834967" w:rsidP="00834967">
            <w:pPr>
              <w:rPr>
                <w:rFonts w:cs="Arial"/>
              </w:rPr>
            </w:pPr>
            <w:r w:rsidRPr="00657E57">
              <w:rPr>
                <w:rFonts w:cs="Arial"/>
              </w:rPr>
              <w:t>Via Protecting Vulnerable People Unit – 101</w:t>
            </w:r>
          </w:p>
          <w:p w14:paraId="2B52A84A" w14:textId="77777777" w:rsidR="00834967" w:rsidRPr="00657E57" w:rsidRDefault="00834967" w:rsidP="00834967">
            <w:pPr>
              <w:rPr>
                <w:rFonts w:cs="Arial"/>
              </w:rPr>
            </w:pPr>
            <w:r w:rsidRPr="00657E57">
              <w:rPr>
                <w:rFonts w:cs="Arial"/>
              </w:rPr>
              <w:t>In an emergency 999</w:t>
            </w:r>
          </w:p>
          <w:p w14:paraId="1D0EF846" w14:textId="77777777" w:rsidR="00834967" w:rsidRPr="00657E57" w:rsidRDefault="00834967" w:rsidP="00834967">
            <w:pPr>
              <w:rPr>
                <w:szCs w:val="20"/>
                <w:lang w:val="en"/>
              </w:rPr>
            </w:pPr>
            <w:r w:rsidRPr="00657E57">
              <w:rPr>
                <w:rFonts w:cs="Arial"/>
              </w:rPr>
              <w:t xml:space="preserve">For advice: </w:t>
            </w:r>
            <w:r w:rsidRPr="00657E57">
              <w:rPr>
                <w:szCs w:val="20"/>
                <w:lang w:val="en"/>
              </w:rPr>
              <w:t>0800 066 5555</w:t>
            </w:r>
          </w:p>
        </w:tc>
      </w:tr>
      <w:tr w:rsidR="00834967" w:rsidRPr="00657E57" w14:paraId="037AC086" w14:textId="77777777" w:rsidTr="00834967">
        <w:tc>
          <w:tcPr>
            <w:tcW w:w="2268" w:type="dxa"/>
            <w:tcBorders>
              <w:bottom w:val="single" w:sz="4" w:space="0" w:color="auto"/>
            </w:tcBorders>
            <w:shd w:val="clear" w:color="auto" w:fill="E6E6E6"/>
          </w:tcPr>
          <w:p w14:paraId="4D96EFC9" w14:textId="77777777" w:rsidR="00834967" w:rsidRPr="00657E57" w:rsidRDefault="00834967" w:rsidP="00834967">
            <w:pPr>
              <w:rPr>
                <w:rFonts w:cs="Arial"/>
                <w:b/>
              </w:rPr>
            </w:pPr>
            <w:r w:rsidRPr="00657E57">
              <w:rPr>
                <w:rFonts w:cs="Arial"/>
                <w:b/>
              </w:rPr>
              <w:t>Timescales following referral</w:t>
            </w:r>
          </w:p>
        </w:tc>
        <w:tc>
          <w:tcPr>
            <w:tcW w:w="6970" w:type="dxa"/>
            <w:tcBorders>
              <w:bottom w:val="single" w:sz="4" w:space="0" w:color="auto"/>
            </w:tcBorders>
            <w:shd w:val="clear" w:color="auto" w:fill="auto"/>
          </w:tcPr>
          <w:p w14:paraId="3279BDFF" w14:textId="77777777" w:rsidR="00834967" w:rsidRPr="00657E57" w:rsidRDefault="00834967" w:rsidP="00834967">
            <w:pPr>
              <w:rPr>
                <w:rFonts w:cs="Arial"/>
              </w:rPr>
            </w:pPr>
            <w:r w:rsidRPr="00657E57">
              <w:rPr>
                <w:rFonts w:cs="Arial"/>
              </w:rPr>
              <w:t>Dependent upon individual circumstances</w:t>
            </w:r>
          </w:p>
        </w:tc>
      </w:tr>
    </w:tbl>
    <w:p w14:paraId="173882D7" w14:textId="77777777" w:rsidR="00834967" w:rsidRDefault="00834967" w:rsidP="00834967"/>
    <w:p w14:paraId="6E002162" w14:textId="77777777" w:rsidR="000D17A1" w:rsidRDefault="000D17A1" w:rsidP="00834967"/>
    <w:p w14:paraId="160D9E0C" w14:textId="77777777" w:rsidR="000D17A1" w:rsidRDefault="000D17A1" w:rsidP="00834967"/>
    <w:p w14:paraId="2374E623" w14:textId="77777777" w:rsidR="000D17A1" w:rsidRDefault="000D17A1" w:rsidP="00834967"/>
    <w:p w14:paraId="56AD93E5" w14:textId="77777777" w:rsidR="000D17A1" w:rsidRDefault="000D17A1" w:rsidP="00834967"/>
    <w:p w14:paraId="5C0FA775" w14:textId="77777777" w:rsidR="000D17A1" w:rsidRDefault="000D17A1" w:rsidP="00834967"/>
    <w:p w14:paraId="5F982997" w14:textId="77777777" w:rsidR="000D17A1" w:rsidRDefault="000D17A1" w:rsidP="00834967"/>
    <w:p w14:paraId="6B8069E2" w14:textId="77777777" w:rsidR="000D17A1" w:rsidRDefault="000D17A1" w:rsidP="00834967"/>
    <w:p w14:paraId="386AEFC0" w14:textId="77777777" w:rsidR="00834967" w:rsidRPr="00427FE1" w:rsidRDefault="00834967" w:rsidP="00834967">
      <w:pPr>
        <w:rPr>
          <w:b/>
          <w:sz w:val="28"/>
          <w:szCs w:val="28"/>
        </w:rPr>
      </w:pPr>
      <w:r>
        <w:rPr>
          <w:b/>
          <w:sz w:val="28"/>
          <w:szCs w:val="28"/>
        </w:rPr>
        <w:lastRenderedPageBreak/>
        <w:t>Risks due to hate crime/incidents</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32B88565" w14:textId="77777777" w:rsidTr="000D17A1">
        <w:tc>
          <w:tcPr>
            <w:tcW w:w="9238" w:type="dxa"/>
            <w:gridSpan w:val="2"/>
            <w:shd w:val="clear" w:color="auto" w:fill="7030A0"/>
          </w:tcPr>
          <w:p w14:paraId="797C5AE9" w14:textId="77777777" w:rsidR="00834967" w:rsidRPr="000D17A1" w:rsidRDefault="00281F6D" w:rsidP="00834967">
            <w:pPr>
              <w:jc w:val="center"/>
              <w:rPr>
                <w:rFonts w:cs="Arial"/>
                <w:b/>
                <w:color w:val="FFFFFF" w:themeColor="background1"/>
              </w:rPr>
            </w:pPr>
            <w:hyperlink r:id="rId15" w:history="1">
              <w:r w:rsidR="00834967" w:rsidRPr="000D17A1">
                <w:rPr>
                  <w:rStyle w:val="Hyperlink"/>
                  <w:b/>
                  <w:color w:val="FFFFFF" w:themeColor="background1"/>
                </w:rPr>
                <w:t>ARCH</w:t>
              </w:r>
            </w:hyperlink>
          </w:p>
        </w:tc>
      </w:tr>
      <w:tr w:rsidR="00834967" w:rsidRPr="00657E57" w14:paraId="556B984D" w14:textId="77777777" w:rsidTr="00834967">
        <w:tc>
          <w:tcPr>
            <w:tcW w:w="2268" w:type="dxa"/>
            <w:shd w:val="clear" w:color="auto" w:fill="E6E6E6"/>
          </w:tcPr>
          <w:p w14:paraId="6BE24B21"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63693037" w14:textId="77777777" w:rsidR="00834967" w:rsidRPr="00657E57" w:rsidRDefault="00834967" w:rsidP="00834967">
            <w:pPr>
              <w:rPr>
                <w:rFonts w:cs="Arial"/>
              </w:rPr>
            </w:pPr>
            <w:r w:rsidRPr="00657E57">
              <w:rPr>
                <w:rFonts w:cs="Arial"/>
              </w:rPr>
              <w:t>Local Authority</w:t>
            </w:r>
          </w:p>
        </w:tc>
      </w:tr>
      <w:tr w:rsidR="00834967" w:rsidRPr="00657E57" w14:paraId="230DDF50" w14:textId="77777777" w:rsidTr="00834967">
        <w:tc>
          <w:tcPr>
            <w:tcW w:w="2268" w:type="dxa"/>
            <w:shd w:val="clear" w:color="auto" w:fill="E6E6E6"/>
          </w:tcPr>
          <w:p w14:paraId="1BBEB883"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7EB93AB3" w14:textId="77777777" w:rsidR="00834967" w:rsidRPr="00657E57" w:rsidRDefault="00834967" w:rsidP="00834967">
            <w:pPr>
              <w:rPr>
                <w:rFonts w:cs="Arial"/>
              </w:rPr>
            </w:pPr>
            <w:r w:rsidRPr="00657E57">
              <w:rPr>
                <w:rFonts w:cs="Arial"/>
              </w:rPr>
              <w:t>Police</w:t>
            </w:r>
          </w:p>
        </w:tc>
      </w:tr>
      <w:tr w:rsidR="00834967" w:rsidRPr="00657E57" w14:paraId="1724BAB8" w14:textId="77777777" w:rsidTr="00834967">
        <w:tc>
          <w:tcPr>
            <w:tcW w:w="2268" w:type="dxa"/>
            <w:shd w:val="clear" w:color="auto" w:fill="E6E6E6"/>
          </w:tcPr>
          <w:p w14:paraId="663CC452"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444469D6" w14:textId="77777777" w:rsidR="00834967" w:rsidRPr="000D17A1" w:rsidRDefault="00834967" w:rsidP="00834967">
            <w:pPr>
              <w:rPr>
                <w:rFonts w:ascii="Helvetica" w:hAnsi="Helvetica" w:cs="Helvetica"/>
                <w:szCs w:val="20"/>
                <w:lang w:val="en"/>
              </w:rPr>
            </w:pPr>
            <w:r w:rsidRPr="000D17A1">
              <w:rPr>
                <w:rFonts w:ascii="Helvetica" w:hAnsi="Helvetica" w:cs="Helvetica"/>
                <w:szCs w:val="20"/>
                <w:lang w:val="en"/>
              </w:rPr>
              <w:t>An incident motivated by the offender’s prejudice against the victim, based on a perceived difference.  The types of hate incident are: racist, faith-based, homophobic, disability-based, or transphobic.</w:t>
            </w:r>
          </w:p>
          <w:p w14:paraId="0F9D0DBD" w14:textId="77777777" w:rsidR="00834967" w:rsidRPr="00657E57" w:rsidRDefault="00834967" w:rsidP="00834967">
            <w:pPr>
              <w:rPr>
                <w:rFonts w:cs="Arial"/>
              </w:rPr>
            </w:pPr>
            <w:r w:rsidRPr="000D17A1">
              <w:rPr>
                <w:rFonts w:ascii="Helvetica" w:hAnsi="Helvetica" w:cs="Helvetica"/>
                <w:szCs w:val="20"/>
                <w:lang w:val="en"/>
              </w:rPr>
              <w:t>If case meets safeguarding criteria, referral will be made</w:t>
            </w:r>
            <w:r w:rsidRPr="00657E57">
              <w:rPr>
                <w:rFonts w:ascii="Helvetica" w:hAnsi="Helvetica" w:cs="Helvetica"/>
                <w:szCs w:val="20"/>
                <w:lang w:val="en"/>
              </w:rPr>
              <w:t xml:space="preserve">. </w:t>
            </w:r>
          </w:p>
        </w:tc>
      </w:tr>
      <w:tr w:rsidR="00834967" w:rsidRPr="00657E57" w14:paraId="6A7AD378" w14:textId="77777777" w:rsidTr="00834967">
        <w:tc>
          <w:tcPr>
            <w:tcW w:w="2268" w:type="dxa"/>
            <w:shd w:val="clear" w:color="auto" w:fill="E6E6E6"/>
          </w:tcPr>
          <w:p w14:paraId="771BDB04"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02AE0ECF" w14:textId="77777777" w:rsidR="00834967" w:rsidRPr="00657E57" w:rsidRDefault="00834967" w:rsidP="00834967">
            <w:pPr>
              <w:pStyle w:val="Heading4"/>
              <w:shd w:val="clear" w:color="auto" w:fill="FFFFFF"/>
              <w:ind w:right="119"/>
              <w:jc w:val="both"/>
              <w:textAlignment w:val="baseline"/>
              <w:rPr>
                <w:rFonts w:cs="Helvetica"/>
                <w:b w:val="0"/>
                <w:bCs/>
                <w:sz w:val="22"/>
                <w:szCs w:val="22"/>
              </w:rPr>
            </w:pPr>
            <w:r w:rsidRPr="000D17A1">
              <w:rPr>
                <w:b w:val="0"/>
                <w:color w:val="auto"/>
                <w:sz w:val="22"/>
                <w:szCs w:val="22"/>
              </w:rPr>
              <w:t xml:space="preserve">Telephone: </w:t>
            </w:r>
            <w:r w:rsidRPr="000D17A1">
              <w:rPr>
                <w:rFonts w:cs="Helvetica"/>
                <w:b w:val="0"/>
                <w:color w:val="auto"/>
                <w:sz w:val="22"/>
                <w:szCs w:val="22"/>
              </w:rPr>
              <w:t>0800 032 3288 or reporting in person to ARCH Reporting Centre</w:t>
            </w:r>
            <w:r w:rsidRPr="00657E57">
              <w:rPr>
                <w:rFonts w:cs="Helvetica"/>
                <w:b w:val="0"/>
                <w:sz w:val="22"/>
                <w:szCs w:val="22"/>
              </w:rPr>
              <w:t>. Anyone can make a referral.</w:t>
            </w:r>
          </w:p>
        </w:tc>
      </w:tr>
      <w:tr w:rsidR="00834967" w:rsidRPr="00657E57" w14:paraId="2727F241" w14:textId="77777777" w:rsidTr="00834967">
        <w:tc>
          <w:tcPr>
            <w:tcW w:w="2268" w:type="dxa"/>
            <w:tcBorders>
              <w:bottom w:val="single" w:sz="4" w:space="0" w:color="auto"/>
            </w:tcBorders>
            <w:shd w:val="clear" w:color="auto" w:fill="E6E6E6"/>
          </w:tcPr>
          <w:p w14:paraId="050F8C40" w14:textId="77777777" w:rsidR="00834967" w:rsidRPr="00657E57" w:rsidRDefault="00834967" w:rsidP="00834967">
            <w:pPr>
              <w:rPr>
                <w:rFonts w:cs="Arial"/>
                <w:b/>
              </w:rPr>
            </w:pPr>
            <w:r w:rsidRPr="00657E57">
              <w:rPr>
                <w:rFonts w:cs="Arial"/>
                <w:b/>
              </w:rPr>
              <w:t>Timescales following referral</w:t>
            </w:r>
          </w:p>
        </w:tc>
        <w:tc>
          <w:tcPr>
            <w:tcW w:w="6970" w:type="dxa"/>
            <w:tcBorders>
              <w:bottom w:val="single" w:sz="4" w:space="0" w:color="auto"/>
            </w:tcBorders>
            <w:shd w:val="clear" w:color="auto" w:fill="auto"/>
          </w:tcPr>
          <w:p w14:paraId="40841BB6" w14:textId="77777777" w:rsidR="00834967" w:rsidRPr="00EF42F4" w:rsidRDefault="00834967" w:rsidP="00834967">
            <w:pPr>
              <w:pStyle w:val="Heading4"/>
              <w:shd w:val="clear" w:color="auto" w:fill="FFFFFF"/>
              <w:ind w:right="119"/>
              <w:jc w:val="both"/>
              <w:textAlignment w:val="baseline"/>
              <w:rPr>
                <w:b w:val="0"/>
                <w:sz w:val="22"/>
                <w:szCs w:val="22"/>
              </w:rPr>
            </w:pPr>
            <w:r w:rsidRPr="000D17A1">
              <w:rPr>
                <w:b w:val="0"/>
                <w:color w:val="auto"/>
                <w:sz w:val="22"/>
                <w:szCs w:val="22"/>
              </w:rPr>
              <w:t xml:space="preserve">Each referral agency has a specific timescale depending on which organisation it is. </w:t>
            </w:r>
            <w:r w:rsidRPr="00EF42F4">
              <w:rPr>
                <w:b w:val="0"/>
                <w:sz w:val="22"/>
                <w:szCs w:val="22"/>
              </w:rPr>
              <w:t>The maximum timescale is 72 hours.</w:t>
            </w:r>
          </w:p>
        </w:tc>
      </w:tr>
    </w:tbl>
    <w:p w14:paraId="428578FC" w14:textId="77777777" w:rsidR="00834967" w:rsidRDefault="00834967" w:rsidP="00834967"/>
    <w:p w14:paraId="157F3F6E" w14:textId="77777777" w:rsidR="00834967" w:rsidRDefault="00834967" w:rsidP="00834967">
      <w:pPr>
        <w:rPr>
          <w:b/>
          <w:sz w:val="28"/>
          <w:szCs w:val="28"/>
        </w:rPr>
      </w:pPr>
      <w:r>
        <w:rPr>
          <w:b/>
          <w:sz w:val="28"/>
          <w:szCs w:val="28"/>
        </w:rPr>
        <w:t>Risks due to radicalisation (related to terrorism)</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1DD7FBF5" w14:textId="77777777" w:rsidTr="000D17A1">
        <w:tc>
          <w:tcPr>
            <w:tcW w:w="9238" w:type="dxa"/>
            <w:gridSpan w:val="2"/>
            <w:shd w:val="clear" w:color="auto" w:fill="7030A0"/>
          </w:tcPr>
          <w:p w14:paraId="4DB1174E" w14:textId="77777777" w:rsidR="00834967" w:rsidRPr="000D17A1" w:rsidRDefault="00281F6D" w:rsidP="00834967">
            <w:pPr>
              <w:jc w:val="center"/>
              <w:rPr>
                <w:rFonts w:cs="Arial"/>
                <w:b/>
                <w:color w:val="FFFFFF" w:themeColor="background1"/>
              </w:rPr>
            </w:pPr>
            <w:hyperlink r:id="rId16" w:history="1">
              <w:r w:rsidR="00834967" w:rsidRPr="000D17A1">
                <w:rPr>
                  <w:rStyle w:val="Hyperlink"/>
                  <w:b/>
                  <w:color w:val="FFFFFF" w:themeColor="background1"/>
                </w:rPr>
                <w:t>Prevent</w:t>
              </w:r>
            </w:hyperlink>
          </w:p>
        </w:tc>
      </w:tr>
      <w:tr w:rsidR="00834967" w:rsidRPr="00657E57" w14:paraId="01261B20" w14:textId="77777777" w:rsidTr="00834967">
        <w:tc>
          <w:tcPr>
            <w:tcW w:w="2268" w:type="dxa"/>
            <w:shd w:val="clear" w:color="auto" w:fill="E0E0E0"/>
          </w:tcPr>
          <w:p w14:paraId="01E999B5"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79BA74F7" w14:textId="77777777" w:rsidR="00834967" w:rsidRPr="00657E57" w:rsidRDefault="00834967" w:rsidP="00834967">
            <w:pPr>
              <w:rPr>
                <w:rFonts w:cs="Arial"/>
              </w:rPr>
            </w:pPr>
            <w:r w:rsidRPr="00657E57">
              <w:rPr>
                <w:rFonts w:cs="Arial"/>
              </w:rPr>
              <w:t>Police/Local Authority</w:t>
            </w:r>
          </w:p>
        </w:tc>
      </w:tr>
      <w:tr w:rsidR="00834967" w:rsidRPr="00657E57" w14:paraId="41D99A6C" w14:textId="77777777" w:rsidTr="00834967">
        <w:tc>
          <w:tcPr>
            <w:tcW w:w="2268" w:type="dxa"/>
            <w:shd w:val="clear" w:color="auto" w:fill="E0E0E0"/>
          </w:tcPr>
          <w:p w14:paraId="2DEB5AB1"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3902F764" w14:textId="77777777" w:rsidR="00834967" w:rsidRPr="00657E57" w:rsidRDefault="00834967" w:rsidP="00834967">
            <w:pPr>
              <w:rPr>
                <w:rFonts w:cs="Arial"/>
              </w:rPr>
            </w:pPr>
            <w:r w:rsidRPr="00657E57">
              <w:rPr>
                <w:rFonts w:cs="Arial"/>
              </w:rPr>
              <w:t>Health, Education (including Universities), Border Agency, Fire Service, Prisons, Housing, Independent Sector, VCS</w:t>
            </w:r>
          </w:p>
        </w:tc>
      </w:tr>
      <w:tr w:rsidR="00834967" w:rsidRPr="00657E57" w14:paraId="51BB8F6D" w14:textId="77777777" w:rsidTr="00834967">
        <w:tc>
          <w:tcPr>
            <w:tcW w:w="2268" w:type="dxa"/>
            <w:shd w:val="clear" w:color="auto" w:fill="E0E0E0"/>
          </w:tcPr>
          <w:p w14:paraId="5405F05C"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02E2CC12" w14:textId="77777777" w:rsidR="00834967" w:rsidRPr="000D17A1" w:rsidRDefault="00834967" w:rsidP="00834967">
            <w:pPr>
              <w:autoSpaceDE w:val="0"/>
              <w:autoSpaceDN w:val="0"/>
              <w:adjustRightInd w:val="0"/>
              <w:rPr>
                <w:rFonts w:ascii="Helvetica" w:hAnsi="Helvetica" w:cs="Helvetica"/>
              </w:rPr>
            </w:pPr>
            <w:r w:rsidRPr="000D17A1">
              <w:rPr>
                <w:rFonts w:ascii="Helvetica" w:hAnsi="Helvetica" w:cs="Helvetica"/>
              </w:rPr>
              <w:t xml:space="preserve">Vulnerable individuals (all age) who may be exploited, radicalised or drawn into terrorism/violent extremism. </w:t>
            </w:r>
          </w:p>
        </w:tc>
      </w:tr>
      <w:tr w:rsidR="00834967" w:rsidRPr="00657E57" w14:paraId="322B3936" w14:textId="77777777" w:rsidTr="00834967">
        <w:tc>
          <w:tcPr>
            <w:tcW w:w="2268" w:type="dxa"/>
            <w:shd w:val="clear" w:color="auto" w:fill="E0E0E0"/>
          </w:tcPr>
          <w:p w14:paraId="237A2DFB"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2142B773" w14:textId="77777777" w:rsidR="00834967" w:rsidRPr="00657E57" w:rsidRDefault="00834967" w:rsidP="00834967">
            <w:pPr>
              <w:rPr>
                <w:rFonts w:cs="Arial"/>
              </w:rPr>
            </w:pPr>
            <w:r w:rsidRPr="00657E57">
              <w:rPr>
                <w:rFonts w:cs="Arial"/>
              </w:rPr>
              <w:t xml:space="preserve">Children and </w:t>
            </w:r>
            <w:r w:rsidR="000D17A1">
              <w:rPr>
                <w:rFonts w:cs="Arial"/>
              </w:rPr>
              <w:t>adults with care and support needs</w:t>
            </w:r>
            <w:r w:rsidRPr="00657E57">
              <w:rPr>
                <w:rFonts w:cs="Arial"/>
              </w:rPr>
              <w:t xml:space="preserve"> – via local safeguarding procedures</w:t>
            </w:r>
            <w:r>
              <w:rPr>
                <w:rFonts w:cs="Arial"/>
              </w:rPr>
              <w:t xml:space="preserve"> (see above)</w:t>
            </w:r>
            <w:r w:rsidRPr="00657E57">
              <w:rPr>
                <w:rFonts w:cs="Arial"/>
              </w:rPr>
              <w:t>.</w:t>
            </w:r>
          </w:p>
          <w:p w14:paraId="17847246" w14:textId="77777777" w:rsidR="00834967" w:rsidRPr="00657E57" w:rsidRDefault="00834967" w:rsidP="00834967">
            <w:pPr>
              <w:rPr>
                <w:rFonts w:cs="Arial"/>
              </w:rPr>
            </w:pPr>
            <w:r w:rsidRPr="00657E57">
              <w:rPr>
                <w:rFonts w:cs="Arial"/>
              </w:rPr>
              <w:t>Other adult – Northumbria Police (101)</w:t>
            </w:r>
          </w:p>
          <w:p w14:paraId="4F20A372" w14:textId="77777777" w:rsidR="00834967" w:rsidRPr="00657E57" w:rsidRDefault="00834967" w:rsidP="00834967">
            <w:pPr>
              <w:rPr>
                <w:rFonts w:cs="Arial"/>
              </w:rPr>
            </w:pPr>
            <w:r w:rsidRPr="00657E57">
              <w:rPr>
                <w:rFonts w:cs="Arial"/>
              </w:rPr>
              <w:t>Out of area concern – appropriate local authority or Police</w:t>
            </w:r>
          </w:p>
        </w:tc>
      </w:tr>
      <w:tr w:rsidR="00834967" w:rsidRPr="00657E57" w14:paraId="5CE6062B" w14:textId="77777777" w:rsidTr="00834967">
        <w:tc>
          <w:tcPr>
            <w:tcW w:w="2268" w:type="dxa"/>
            <w:shd w:val="clear" w:color="auto" w:fill="E0E0E0"/>
          </w:tcPr>
          <w:p w14:paraId="3F3E9C91" w14:textId="77777777" w:rsidR="00834967" w:rsidRPr="00657E57" w:rsidRDefault="00834967" w:rsidP="00834967">
            <w:pPr>
              <w:rPr>
                <w:rFonts w:cs="Arial"/>
                <w:b/>
              </w:rPr>
            </w:pPr>
            <w:r w:rsidRPr="00657E57">
              <w:rPr>
                <w:rFonts w:cs="Arial"/>
                <w:b/>
              </w:rPr>
              <w:t>Timescales following referral</w:t>
            </w:r>
          </w:p>
        </w:tc>
        <w:tc>
          <w:tcPr>
            <w:tcW w:w="6970" w:type="dxa"/>
            <w:shd w:val="clear" w:color="auto" w:fill="auto"/>
          </w:tcPr>
          <w:p w14:paraId="6009393F" w14:textId="77777777" w:rsidR="00834967" w:rsidRPr="00657E57" w:rsidRDefault="00834967" w:rsidP="00834967">
            <w:pPr>
              <w:rPr>
                <w:rFonts w:cs="Arial"/>
              </w:rPr>
            </w:pPr>
            <w:r w:rsidRPr="00657E57">
              <w:rPr>
                <w:rFonts w:cs="Arial"/>
              </w:rPr>
              <w:t xml:space="preserve">As per safeguarding procedures, otherwise dependent upon level of risk identified. </w:t>
            </w:r>
          </w:p>
        </w:tc>
      </w:tr>
    </w:tbl>
    <w:p w14:paraId="7F87891E" w14:textId="77777777" w:rsidR="00834967" w:rsidRDefault="00834967" w:rsidP="00834967">
      <w:pPr>
        <w:rPr>
          <w:b/>
          <w:sz w:val="28"/>
          <w:szCs w:val="28"/>
        </w:rPr>
      </w:pPr>
    </w:p>
    <w:p w14:paraId="0DA43A83" w14:textId="77777777" w:rsidR="00834967" w:rsidRPr="00427FE1" w:rsidRDefault="00834967" w:rsidP="00834967">
      <w:pPr>
        <w:rPr>
          <w:b/>
          <w:sz w:val="28"/>
          <w:szCs w:val="28"/>
        </w:rPr>
      </w:pPr>
      <w:r>
        <w:rPr>
          <w:b/>
          <w:sz w:val="28"/>
          <w:szCs w:val="28"/>
        </w:rPr>
        <w:t xml:space="preserve">Risks due to multiple exclusion and rough sleeping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00492528" w14:textId="77777777" w:rsidTr="000D17A1">
        <w:tc>
          <w:tcPr>
            <w:tcW w:w="9238" w:type="dxa"/>
            <w:gridSpan w:val="2"/>
            <w:shd w:val="clear" w:color="auto" w:fill="7030A0"/>
          </w:tcPr>
          <w:p w14:paraId="70657BBE" w14:textId="77777777" w:rsidR="00834967" w:rsidRPr="000D17A1" w:rsidRDefault="00834967" w:rsidP="00834967">
            <w:pPr>
              <w:jc w:val="center"/>
              <w:rPr>
                <w:rFonts w:cs="Arial"/>
                <w:b/>
                <w:color w:val="FFFFFF" w:themeColor="background1"/>
              </w:rPr>
            </w:pPr>
            <w:r w:rsidRPr="000D17A1">
              <w:rPr>
                <w:rFonts w:cs="Arial"/>
                <w:b/>
                <w:color w:val="FFFFFF" w:themeColor="background1"/>
              </w:rPr>
              <w:t>Common Case Management Group</w:t>
            </w:r>
            <w:r w:rsidR="000D17A1">
              <w:rPr>
                <w:rFonts w:cs="Arial"/>
                <w:b/>
                <w:color w:val="FFFFFF" w:themeColor="background1"/>
              </w:rPr>
              <w:t xml:space="preserve"> (CCMG)</w:t>
            </w:r>
          </w:p>
        </w:tc>
      </w:tr>
      <w:tr w:rsidR="00834967" w:rsidRPr="00657E57" w14:paraId="342A5E92" w14:textId="77777777" w:rsidTr="00834967">
        <w:tc>
          <w:tcPr>
            <w:tcW w:w="2268" w:type="dxa"/>
            <w:shd w:val="clear" w:color="auto" w:fill="E6E6E6"/>
          </w:tcPr>
          <w:p w14:paraId="11233033"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0DFCBEA4" w14:textId="77777777" w:rsidR="00834967" w:rsidRPr="00657E57" w:rsidRDefault="00834967" w:rsidP="00834967">
            <w:pPr>
              <w:rPr>
                <w:rFonts w:cs="Arial"/>
              </w:rPr>
            </w:pPr>
            <w:r w:rsidRPr="00657E57">
              <w:rPr>
                <w:rFonts w:cs="Arial"/>
              </w:rPr>
              <w:t>Local Authority</w:t>
            </w:r>
          </w:p>
        </w:tc>
      </w:tr>
      <w:tr w:rsidR="00834967" w:rsidRPr="00657E57" w14:paraId="74ACA03C" w14:textId="77777777" w:rsidTr="00834967">
        <w:tc>
          <w:tcPr>
            <w:tcW w:w="2268" w:type="dxa"/>
            <w:shd w:val="clear" w:color="auto" w:fill="E6E6E6"/>
          </w:tcPr>
          <w:p w14:paraId="587ACD87"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7A2B92D3" w14:textId="77777777" w:rsidR="00834967" w:rsidRPr="00657E57" w:rsidRDefault="00834967" w:rsidP="00834967">
            <w:pPr>
              <w:rPr>
                <w:rFonts w:cs="Arial"/>
              </w:rPr>
            </w:pPr>
            <w:r w:rsidRPr="00657E57">
              <w:rPr>
                <w:rFonts w:cs="Arial"/>
              </w:rPr>
              <w:t xml:space="preserve">Housing, Health, Police, Probation, voluntary sector, drug and alcohol services. </w:t>
            </w:r>
          </w:p>
        </w:tc>
      </w:tr>
      <w:tr w:rsidR="00834967" w:rsidRPr="00657E57" w14:paraId="76B3786D" w14:textId="77777777" w:rsidTr="00834967">
        <w:tc>
          <w:tcPr>
            <w:tcW w:w="2268" w:type="dxa"/>
            <w:shd w:val="clear" w:color="auto" w:fill="E6E6E6"/>
          </w:tcPr>
          <w:p w14:paraId="1D8C1A1B"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22D23E79" w14:textId="77777777" w:rsidR="00834967" w:rsidRPr="00657E57" w:rsidRDefault="00834967" w:rsidP="00834967">
            <w:pPr>
              <w:rPr>
                <w:rFonts w:cs="Arial"/>
                <w:b/>
              </w:rPr>
            </w:pPr>
            <w:r w:rsidRPr="000D17A1">
              <w:rPr>
                <w:rFonts w:cs="Arial"/>
              </w:rPr>
              <w:t>Individuals with multiple needs, including those who are rough sleeping or at risk of homelessness and those struggling to access and sustain both support and</w:t>
            </w:r>
            <w:r w:rsidRPr="000D17A1" w:rsidDel="00B7170D">
              <w:rPr>
                <w:rFonts w:cs="Arial"/>
              </w:rPr>
              <w:t xml:space="preserve"> </w:t>
            </w:r>
            <w:r w:rsidRPr="000D17A1">
              <w:rPr>
                <w:rFonts w:cs="Arial"/>
              </w:rPr>
              <w:t>accommodation services.</w:t>
            </w:r>
            <w:r w:rsidRPr="00657E57">
              <w:rPr>
                <w:rFonts w:cs="Arial"/>
                <w:b/>
              </w:rPr>
              <w:t xml:space="preserve"> </w:t>
            </w:r>
            <w:r w:rsidRPr="00657E57">
              <w:rPr>
                <w:rFonts w:cs="Arial"/>
              </w:rPr>
              <w:t xml:space="preserve">The group specifically focuses on those clients who are at risk of homelessness </w:t>
            </w:r>
            <w:r>
              <w:rPr>
                <w:rFonts w:cs="Arial"/>
              </w:rPr>
              <w:t>(</w:t>
            </w:r>
            <w:r w:rsidRPr="00657E57">
              <w:rPr>
                <w:rFonts w:cs="Arial"/>
              </w:rPr>
              <w:t>including rough sleeping</w:t>
            </w:r>
            <w:r>
              <w:rPr>
                <w:rFonts w:cs="Arial"/>
              </w:rPr>
              <w:t>)</w:t>
            </w:r>
            <w:r w:rsidRPr="00657E57">
              <w:rPr>
                <w:rFonts w:cs="Arial"/>
              </w:rPr>
              <w:t xml:space="preserve"> </w:t>
            </w:r>
            <w:r>
              <w:rPr>
                <w:rFonts w:cs="Arial"/>
              </w:rPr>
              <w:t>or where risks have been identified linked to</w:t>
            </w:r>
            <w:r w:rsidRPr="00657E57">
              <w:rPr>
                <w:rFonts w:cs="Arial"/>
              </w:rPr>
              <w:t xml:space="preserve"> </w:t>
            </w:r>
            <w:r>
              <w:rPr>
                <w:rFonts w:cs="Arial"/>
              </w:rPr>
              <w:t>substance misuse</w:t>
            </w:r>
            <w:r w:rsidRPr="00657E57">
              <w:rPr>
                <w:rFonts w:cs="Arial"/>
              </w:rPr>
              <w:t>, mental or physical health problem</w:t>
            </w:r>
            <w:r>
              <w:rPr>
                <w:rFonts w:cs="Arial"/>
              </w:rPr>
              <w:t>s</w:t>
            </w:r>
            <w:r w:rsidRPr="00657E57">
              <w:rPr>
                <w:rFonts w:cs="Arial"/>
              </w:rPr>
              <w:t xml:space="preserve"> and offending.</w:t>
            </w:r>
          </w:p>
        </w:tc>
      </w:tr>
      <w:tr w:rsidR="00834967" w:rsidRPr="00657E57" w14:paraId="33579B03" w14:textId="77777777" w:rsidTr="00834967">
        <w:tc>
          <w:tcPr>
            <w:tcW w:w="2268" w:type="dxa"/>
            <w:shd w:val="clear" w:color="auto" w:fill="E6E6E6"/>
          </w:tcPr>
          <w:p w14:paraId="5E1FF0F2"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0A6B5DCB" w14:textId="77777777" w:rsidR="00834967" w:rsidRPr="00657E57" w:rsidRDefault="00834967" w:rsidP="00834967">
            <w:pPr>
              <w:rPr>
                <w:rFonts w:cs="Arial"/>
              </w:rPr>
            </w:pPr>
            <w:r w:rsidRPr="00657E57">
              <w:rPr>
                <w:rFonts w:cs="Arial"/>
              </w:rPr>
              <w:t xml:space="preserve">For CCMG: Via Temporary Accommodation Manager, Cherry Tree View, 0191 2771737 </w:t>
            </w:r>
          </w:p>
          <w:p w14:paraId="53F9DB1C" w14:textId="77777777" w:rsidR="00834967" w:rsidRPr="00657E57" w:rsidRDefault="00834967" w:rsidP="00834967">
            <w:pPr>
              <w:rPr>
                <w:rFonts w:cs="Arial"/>
              </w:rPr>
            </w:pPr>
            <w:r w:rsidRPr="00657E57">
              <w:rPr>
                <w:rFonts w:cs="Arial"/>
              </w:rPr>
              <w:t>For Complex Needs Panel: Via the CCMG</w:t>
            </w:r>
          </w:p>
        </w:tc>
      </w:tr>
      <w:tr w:rsidR="00834967" w:rsidRPr="00657E57" w14:paraId="2F769AA9" w14:textId="77777777" w:rsidTr="00834967">
        <w:tc>
          <w:tcPr>
            <w:tcW w:w="2268" w:type="dxa"/>
            <w:tcBorders>
              <w:bottom w:val="single" w:sz="4" w:space="0" w:color="auto"/>
            </w:tcBorders>
            <w:shd w:val="clear" w:color="auto" w:fill="E6E6E6"/>
          </w:tcPr>
          <w:p w14:paraId="42E293C3" w14:textId="77777777" w:rsidR="00834967" w:rsidRPr="00657E57" w:rsidRDefault="00834967" w:rsidP="00834967">
            <w:pPr>
              <w:rPr>
                <w:rFonts w:cs="Arial"/>
                <w:b/>
              </w:rPr>
            </w:pPr>
            <w:r w:rsidRPr="00657E57">
              <w:rPr>
                <w:rFonts w:cs="Arial"/>
                <w:b/>
              </w:rPr>
              <w:t>Timescales following referral</w:t>
            </w:r>
          </w:p>
        </w:tc>
        <w:tc>
          <w:tcPr>
            <w:tcW w:w="6970" w:type="dxa"/>
            <w:tcBorders>
              <w:bottom w:val="single" w:sz="4" w:space="0" w:color="auto"/>
            </w:tcBorders>
            <w:shd w:val="clear" w:color="auto" w:fill="auto"/>
          </w:tcPr>
          <w:p w14:paraId="094B793C" w14:textId="77777777" w:rsidR="00834967" w:rsidRPr="00657E57" w:rsidRDefault="00834967" w:rsidP="00834967">
            <w:pPr>
              <w:rPr>
                <w:rFonts w:cs="Arial"/>
              </w:rPr>
            </w:pPr>
            <w:r w:rsidRPr="00657E57">
              <w:rPr>
                <w:rFonts w:cs="Arial"/>
              </w:rPr>
              <w:t>Weekly meeting every Wednesday at 2.00pm</w:t>
            </w:r>
          </w:p>
        </w:tc>
      </w:tr>
    </w:tbl>
    <w:p w14:paraId="74181125" w14:textId="77777777" w:rsidR="00834967" w:rsidRDefault="00834967" w:rsidP="00834967"/>
    <w:p w14:paraId="5A56AAC8" w14:textId="77777777" w:rsidR="000D17A1" w:rsidRDefault="000D17A1" w:rsidP="00834967"/>
    <w:p w14:paraId="49E29BB0" w14:textId="77777777" w:rsidR="000D17A1" w:rsidRDefault="000D17A1" w:rsidP="00834967"/>
    <w:p w14:paraId="157B9165" w14:textId="77777777" w:rsidR="000D17A1" w:rsidRDefault="000D17A1" w:rsidP="00834967"/>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60E86D8B" w14:textId="77777777" w:rsidTr="000D17A1">
        <w:tc>
          <w:tcPr>
            <w:tcW w:w="9238" w:type="dxa"/>
            <w:gridSpan w:val="2"/>
            <w:shd w:val="clear" w:color="auto" w:fill="7030A0"/>
          </w:tcPr>
          <w:p w14:paraId="40859D18" w14:textId="77777777" w:rsidR="00834967" w:rsidRPr="000D17A1" w:rsidRDefault="00834967" w:rsidP="00834967">
            <w:pPr>
              <w:jc w:val="center"/>
              <w:rPr>
                <w:rFonts w:cs="Arial"/>
                <w:b/>
                <w:color w:val="FFFFFF" w:themeColor="background1"/>
              </w:rPr>
            </w:pPr>
            <w:r w:rsidRPr="000D17A1">
              <w:rPr>
                <w:rFonts w:cs="Arial"/>
                <w:b/>
                <w:color w:val="FFFFFF" w:themeColor="background1"/>
              </w:rPr>
              <w:lastRenderedPageBreak/>
              <w:t>Complex Needs Panel</w:t>
            </w:r>
          </w:p>
        </w:tc>
      </w:tr>
      <w:tr w:rsidR="00834967" w:rsidRPr="00657E57" w14:paraId="7D5DC779" w14:textId="77777777" w:rsidTr="00834967">
        <w:tc>
          <w:tcPr>
            <w:tcW w:w="2268" w:type="dxa"/>
            <w:shd w:val="clear" w:color="auto" w:fill="E6E6E6"/>
          </w:tcPr>
          <w:p w14:paraId="4FBF66CE"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7CD7C998" w14:textId="77777777" w:rsidR="00834967" w:rsidRPr="00657E57" w:rsidRDefault="00834967" w:rsidP="00834967">
            <w:pPr>
              <w:rPr>
                <w:rFonts w:cs="Arial"/>
              </w:rPr>
            </w:pPr>
            <w:r w:rsidRPr="00657E57">
              <w:rPr>
                <w:rFonts w:cs="Arial"/>
              </w:rPr>
              <w:t>Local Authority</w:t>
            </w:r>
          </w:p>
        </w:tc>
      </w:tr>
      <w:tr w:rsidR="00834967" w:rsidRPr="00657E57" w14:paraId="32573617" w14:textId="77777777" w:rsidTr="00834967">
        <w:tc>
          <w:tcPr>
            <w:tcW w:w="2268" w:type="dxa"/>
            <w:shd w:val="clear" w:color="auto" w:fill="E6E6E6"/>
          </w:tcPr>
          <w:p w14:paraId="11BA6585"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36D55CD5" w14:textId="77777777" w:rsidR="00834967" w:rsidRPr="00657E57" w:rsidRDefault="00834967" w:rsidP="00834967">
            <w:pPr>
              <w:rPr>
                <w:rFonts w:cs="Arial"/>
              </w:rPr>
            </w:pPr>
            <w:r w:rsidRPr="00657E57">
              <w:rPr>
                <w:rFonts w:cs="Arial"/>
              </w:rPr>
              <w:t xml:space="preserve">Housing, Health, Police, Probation, Voluntary sector  drug and alcohol treatment services. </w:t>
            </w:r>
          </w:p>
        </w:tc>
      </w:tr>
      <w:tr w:rsidR="00834967" w:rsidRPr="00657E57" w14:paraId="77DD4EDF" w14:textId="77777777" w:rsidTr="00834967">
        <w:tc>
          <w:tcPr>
            <w:tcW w:w="2268" w:type="dxa"/>
            <w:shd w:val="clear" w:color="auto" w:fill="E6E6E6"/>
          </w:tcPr>
          <w:p w14:paraId="56C2DA9C"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0C496CBD" w14:textId="77777777" w:rsidR="00834967" w:rsidRPr="000D17A1" w:rsidRDefault="00834967" w:rsidP="00834967">
            <w:pPr>
              <w:rPr>
                <w:rFonts w:cs="Arial"/>
              </w:rPr>
            </w:pPr>
            <w:r w:rsidRPr="000D17A1">
              <w:t xml:space="preserve">A Complex Needs Panel will be considered when there is a clear deterioration in behaviour and assessed risk despite repeated interventions via the CCMG. </w:t>
            </w:r>
            <w:r w:rsidRPr="000D17A1">
              <w:rPr>
                <w:rFonts w:cs="Arial"/>
              </w:rPr>
              <w:t>The focus is those clients who are at risk of homelessness (including rough sleeping) or where risks have been identified linked to substance misuse, mental or physical health problems and offending.</w:t>
            </w:r>
          </w:p>
        </w:tc>
      </w:tr>
      <w:tr w:rsidR="00834967" w:rsidRPr="00657E57" w14:paraId="60B120C1" w14:textId="77777777" w:rsidTr="00834967">
        <w:tc>
          <w:tcPr>
            <w:tcW w:w="2268" w:type="dxa"/>
            <w:shd w:val="clear" w:color="auto" w:fill="E6E6E6"/>
          </w:tcPr>
          <w:p w14:paraId="0027B468"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0E40A2C5" w14:textId="77777777" w:rsidR="00834967" w:rsidRPr="00657E57" w:rsidRDefault="00834967" w:rsidP="00834967">
            <w:pPr>
              <w:rPr>
                <w:rFonts w:cs="Arial"/>
              </w:rPr>
            </w:pPr>
            <w:r w:rsidRPr="00657E57">
              <w:rPr>
                <w:rFonts w:cs="Arial"/>
              </w:rPr>
              <w:t xml:space="preserve">Via the CCMG </w:t>
            </w:r>
          </w:p>
        </w:tc>
      </w:tr>
      <w:tr w:rsidR="00834967" w:rsidRPr="00657E57" w14:paraId="3B60106D" w14:textId="77777777" w:rsidTr="00834967">
        <w:tc>
          <w:tcPr>
            <w:tcW w:w="2268" w:type="dxa"/>
            <w:tcBorders>
              <w:bottom w:val="single" w:sz="4" w:space="0" w:color="auto"/>
            </w:tcBorders>
            <w:shd w:val="clear" w:color="auto" w:fill="E6E6E6"/>
          </w:tcPr>
          <w:p w14:paraId="0642755F" w14:textId="77777777" w:rsidR="00834967" w:rsidRPr="00657E57" w:rsidRDefault="00834967" w:rsidP="00834967">
            <w:pPr>
              <w:rPr>
                <w:rFonts w:cs="Arial"/>
                <w:b/>
              </w:rPr>
            </w:pPr>
            <w:r w:rsidRPr="00657E57">
              <w:rPr>
                <w:rFonts w:cs="Arial"/>
                <w:b/>
              </w:rPr>
              <w:t>Timescales following referral</w:t>
            </w:r>
          </w:p>
        </w:tc>
        <w:tc>
          <w:tcPr>
            <w:tcW w:w="6970" w:type="dxa"/>
            <w:tcBorders>
              <w:bottom w:val="single" w:sz="4" w:space="0" w:color="auto"/>
            </w:tcBorders>
            <w:shd w:val="clear" w:color="auto" w:fill="auto"/>
          </w:tcPr>
          <w:p w14:paraId="3E9D80B9" w14:textId="77777777" w:rsidR="00834967" w:rsidRPr="00657E57" w:rsidRDefault="000D17A1" w:rsidP="00834967">
            <w:pPr>
              <w:rPr>
                <w:rFonts w:cs="Arial"/>
              </w:rPr>
            </w:pPr>
            <w:r>
              <w:rPr>
                <w:rFonts w:cs="Arial"/>
              </w:rPr>
              <w:t xml:space="preserve">Complex Needs Panel will be convened as soon as possible following CCMG meeting. </w:t>
            </w:r>
          </w:p>
        </w:tc>
      </w:tr>
    </w:tbl>
    <w:p w14:paraId="6F62E98E" w14:textId="77777777" w:rsidR="00834967" w:rsidRDefault="00834967" w:rsidP="00834967"/>
    <w:p w14:paraId="40A6E31F" w14:textId="77777777" w:rsidR="00834967" w:rsidRPr="00427FE1" w:rsidRDefault="00834967" w:rsidP="00834967">
      <w:pPr>
        <w:rPr>
          <w:b/>
          <w:sz w:val="28"/>
          <w:szCs w:val="28"/>
        </w:rPr>
      </w:pPr>
      <w:r>
        <w:rPr>
          <w:b/>
          <w:sz w:val="28"/>
          <w:szCs w:val="28"/>
        </w:rPr>
        <w:t xml:space="preserve">Risks due homelessness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60F5FD52" w14:textId="77777777" w:rsidTr="000D17A1">
        <w:tc>
          <w:tcPr>
            <w:tcW w:w="9238" w:type="dxa"/>
            <w:gridSpan w:val="2"/>
            <w:shd w:val="clear" w:color="auto" w:fill="7030A0"/>
          </w:tcPr>
          <w:p w14:paraId="5D6403E3" w14:textId="77777777" w:rsidR="00834967" w:rsidRPr="000D17A1" w:rsidRDefault="00281F6D" w:rsidP="00834967">
            <w:pPr>
              <w:jc w:val="center"/>
              <w:rPr>
                <w:rFonts w:cs="Arial"/>
                <w:b/>
                <w:color w:val="FFFFFF" w:themeColor="background1"/>
              </w:rPr>
            </w:pPr>
            <w:hyperlink r:id="rId17" w:history="1">
              <w:r w:rsidR="00834967" w:rsidRPr="000D17A1">
                <w:rPr>
                  <w:rStyle w:val="Hyperlink"/>
                  <w:b/>
                  <w:color w:val="FFFFFF" w:themeColor="background1"/>
                </w:rPr>
                <w:t>Prevention of Eviction Protocol</w:t>
              </w:r>
            </w:hyperlink>
          </w:p>
        </w:tc>
      </w:tr>
      <w:tr w:rsidR="00834967" w:rsidRPr="00657E57" w14:paraId="1ACF7BD2" w14:textId="77777777" w:rsidTr="00834967">
        <w:tc>
          <w:tcPr>
            <w:tcW w:w="2268" w:type="dxa"/>
            <w:shd w:val="clear" w:color="auto" w:fill="E6E6E6"/>
          </w:tcPr>
          <w:p w14:paraId="5804152B"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2FACFF6B" w14:textId="77777777" w:rsidR="00834967" w:rsidRPr="00657E57" w:rsidRDefault="00834967" w:rsidP="00834967">
            <w:pPr>
              <w:rPr>
                <w:rFonts w:cs="Arial"/>
              </w:rPr>
            </w:pPr>
            <w:r w:rsidRPr="00657E57">
              <w:rPr>
                <w:rFonts w:cs="Arial"/>
              </w:rPr>
              <w:t>Local Authority</w:t>
            </w:r>
            <w:r>
              <w:rPr>
                <w:rFonts w:cs="Arial"/>
              </w:rPr>
              <w:t xml:space="preserve"> and Your Homes Newcastle</w:t>
            </w:r>
            <w:r w:rsidR="000D17A1">
              <w:rPr>
                <w:rFonts w:cs="Arial"/>
              </w:rPr>
              <w:t xml:space="preserve"> (YHN)</w:t>
            </w:r>
          </w:p>
        </w:tc>
      </w:tr>
      <w:tr w:rsidR="00834967" w:rsidRPr="00657E57" w14:paraId="0659AD65" w14:textId="77777777" w:rsidTr="00834967">
        <w:tc>
          <w:tcPr>
            <w:tcW w:w="2268" w:type="dxa"/>
            <w:shd w:val="clear" w:color="auto" w:fill="E6E6E6"/>
          </w:tcPr>
          <w:p w14:paraId="24CDF9DD"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0CF74D35" w14:textId="77777777" w:rsidR="00834967" w:rsidRPr="00657E57" w:rsidRDefault="00834967" w:rsidP="00834967">
            <w:pPr>
              <w:rPr>
                <w:rFonts w:cs="Arial"/>
              </w:rPr>
            </w:pPr>
            <w:r>
              <w:rPr>
                <w:rFonts w:cs="Arial"/>
              </w:rPr>
              <w:t>YHN, Adult Social Care, Children’s Social Care, social care commissioners, general needs housing providers.</w:t>
            </w:r>
          </w:p>
        </w:tc>
      </w:tr>
      <w:tr w:rsidR="00834967" w:rsidRPr="00657E57" w14:paraId="7A425058" w14:textId="77777777" w:rsidTr="00834967">
        <w:tc>
          <w:tcPr>
            <w:tcW w:w="2268" w:type="dxa"/>
            <w:shd w:val="clear" w:color="auto" w:fill="E6E6E6"/>
          </w:tcPr>
          <w:p w14:paraId="395DA594"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58A5E6D8" w14:textId="77777777" w:rsidR="00834967" w:rsidRPr="000D17A1" w:rsidRDefault="00834967" w:rsidP="00834967">
            <w:pPr>
              <w:rPr>
                <w:rFonts w:cs="Arial"/>
              </w:rPr>
            </w:pPr>
            <w:r w:rsidRPr="000D17A1">
              <w:rPr>
                <w:rFonts w:cs="Arial"/>
              </w:rPr>
              <w:t>Protocol covers three key areas:</w:t>
            </w:r>
          </w:p>
          <w:p w14:paraId="6F95E2A1" w14:textId="77777777" w:rsidR="00834967" w:rsidRPr="000D17A1" w:rsidRDefault="00834967" w:rsidP="00107991">
            <w:pPr>
              <w:numPr>
                <w:ilvl w:val="0"/>
                <w:numId w:val="6"/>
              </w:numPr>
              <w:ind w:left="426" w:hanging="426"/>
              <w:rPr>
                <w:rFonts w:cs="Arial"/>
              </w:rPr>
            </w:pPr>
            <w:r w:rsidRPr="000D17A1">
              <w:rPr>
                <w:rFonts w:cs="Arial"/>
              </w:rPr>
              <w:t xml:space="preserve">Action to be taken before a tenancy starts to identify whether an applicant may be vulnerable, and to take steps to minimize any risk to the tenancy. </w:t>
            </w:r>
          </w:p>
          <w:p w14:paraId="6424257C" w14:textId="77777777" w:rsidR="00834967" w:rsidRPr="000D17A1" w:rsidRDefault="00834967" w:rsidP="00107991">
            <w:pPr>
              <w:numPr>
                <w:ilvl w:val="0"/>
                <w:numId w:val="6"/>
              </w:numPr>
              <w:ind w:left="426" w:hanging="426"/>
              <w:rPr>
                <w:rFonts w:cs="Arial"/>
              </w:rPr>
            </w:pPr>
            <w:r w:rsidRPr="000D17A1">
              <w:rPr>
                <w:rFonts w:cs="Arial"/>
              </w:rPr>
              <w:t>Action to be taken during the tenancy to deal with any problems which arise.</w:t>
            </w:r>
          </w:p>
          <w:p w14:paraId="59BEEE92" w14:textId="77777777" w:rsidR="00834967" w:rsidRPr="000D17A1" w:rsidRDefault="00834967" w:rsidP="00107991">
            <w:pPr>
              <w:numPr>
                <w:ilvl w:val="0"/>
                <w:numId w:val="6"/>
              </w:numPr>
              <w:ind w:left="426" w:hanging="426"/>
              <w:rPr>
                <w:rFonts w:cs="Arial"/>
              </w:rPr>
            </w:pPr>
            <w:r w:rsidRPr="000D17A1">
              <w:rPr>
                <w:rFonts w:cs="Arial"/>
              </w:rPr>
              <w:t xml:space="preserve">Action to be taken where there is a threat of eviction and loss of the home, to </w:t>
            </w:r>
            <w:r w:rsidR="000D17A1" w:rsidRPr="000D17A1">
              <w:rPr>
                <w:rFonts w:cs="Arial"/>
              </w:rPr>
              <w:t xml:space="preserve">prevent homelessness </w:t>
            </w:r>
          </w:p>
          <w:p w14:paraId="0CD33FCB" w14:textId="77777777" w:rsidR="00834967" w:rsidRPr="000D17A1" w:rsidRDefault="00834967" w:rsidP="00834967">
            <w:pPr>
              <w:rPr>
                <w:rFonts w:cs="Arial"/>
              </w:rPr>
            </w:pPr>
            <w:r w:rsidRPr="000D17A1">
              <w:rPr>
                <w:rFonts w:cs="Arial"/>
              </w:rPr>
              <w:t xml:space="preserve">The working definition in use in this Protocol is that a person is vulnerable if it is considered that they either: </w:t>
            </w:r>
          </w:p>
          <w:p w14:paraId="1F42FFAD" w14:textId="77777777" w:rsidR="00834967" w:rsidRPr="000D17A1" w:rsidRDefault="00834967" w:rsidP="00107991">
            <w:pPr>
              <w:numPr>
                <w:ilvl w:val="0"/>
                <w:numId w:val="5"/>
              </w:numPr>
              <w:tabs>
                <w:tab w:val="clear" w:pos="720"/>
                <w:tab w:val="num" w:pos="426"/>
              </w:tabs>
              <w:ind w:left="426" w:hanging="426"/>
              <w:rPr>
                <w:rFonts w:cs="Arial"/>
              </w:rPr>
            </w:pPr>
            <w:r w:rsidRPr="000D17A1">
              <w:rPr>
                <w:rFonts w:cs="Arial"/>
              </w:rPr>
              <w:t xml:space="preserve">Receive support (housing-related or other support, or social care) from an agency with whom a housing officer can jointly work as described in this Protocol; or </w:t>
            </w:r>
          </w:p>
          <w:p w14:paraId="68575AC6" w14:textId="77777777" w:rsidR="00834967" w:rsidRPr="00FA483E" w:rsidRDefault="00834967" w:rsidP="00107991">
            <w:pPr>
              <w:numPr>
                <w:ilvl w:val="0"/>
                <w:numId w:val="5"/>
              </w:numPr>
              <w:tabs>
                <w:tab w:val="clear" w:pos="720"/>
                <w:tab w:val="num" w:pos="426"/>
              </w:tabs>
              <w:ind w:left="426" w:hanging="426"/>
              <w:rPr>
                <w:rFonts w:cs="Arial"/>
                <w:b/>
              </w:rPr>
            </w:pPr>
            <w:r w:rsidRPr="000D17A1">
              <w:rPr>
                <w:rFonts w:cs="Arial"/>
              </w:rPr>
              <w:t>Need support in order to manage a tenancy and would not be able to manage a tenancy without outside assistance beyond ordinary housing management. If support cannot be secured, this Protocol is not applicable.</w:t>
            </w:r>
            <w:r w:rsidRPr="00FA483E">
              <w:rPr>
                <w:rFonts w:cs="Arial"/>
              </w:rPr>
              <w:t xml:space="preserve"> </w:t>
            </w:r>
          </w:p>
        </w:tc>
      </w:tr>
      <w:tr w:rsidR="00834967" w:rsidRPr="00657E57" w14:paraId="64285BD7" w14:textId="77777777" w:rsidTr="00834967">
        <w:tc>
          <w:tcPr>
            <w:tcW w:w="2268" w:type="dxa"/>
            <w:shd w:val="clear" w:color="auto" w:fill="E6E6E6"/>
          </w:tcPr>
          <w:p w14:paraId="5D1127D1"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763173D6" w14:textId="77777777" w:rsidR="00834967" w:rsidRDefault="00834967" w:rsidP="00834967">
            <w:pPr>
              <w:rPr>
                <w:rFonts w:cs="Arial"/>
              </w:rPr>
            </w:pPr>
            <w:r>
              <w:rPr>
                <w:rFonts w:cs="Arial"/>
              </w:rPr>
              <w:t>Vulnerability should be highlighted and/or identified at the application stage for a property and a Preventing Eviction Plan made.</w:t>
            </w:r>
          </w:p>
          <w:p w14:paraId="6235BCB2" w14:textId="77777777" w:rsidR="00834967" w:rsidRDefault="00834967" w:rsidP="00834967">
            <w:pPr>
              <w:rPr>
                <w:rFonts w:cs="Arial"/>
              </w:rPr>
            </w:pPr>
            <w:r>
              <w:rPr>
                <w:rFonts w:cs="Arial"/>
              </w:rPr>
              <w:t xml:space="preserve">If it is about a problem arising during the tenancy then contact should be made with the relevant Housing Officer who will decide whether a case meeting and a review of the Preventing Eviction Plan is required. </w:t>
            </w:r>
          </w:p>
          <w:p w14:paraId="4294DE7E" w14:textId="77777777" w:rsidR="00834967" w:rsidRPr="00657E57" w:rsidRDefault="00834967" w:rsidP="00834967">
            <w:pPr>
              <w:rPr>
                <w:rFonts w:cs="Arial"/>
              </w:rPr>
            </w:pPr>
            <w:r>
              <w:rPr>
                <w:rFonts w:cs="Arial"/>
              </w:rPr>
              <w:t xml:space="preserve">Where there is a risk of eviction, a case meeting should be convened and a review of the Preventing Eviction Plan is required. </w:t>
            </w:r>
          </w:p>
        </w:tc>
      </w:tr>
      <w:tr w:rsidR="00834967" w:rsidRPr="00657E57" w14:paraId="29ACAC0E" w14:textId="77777777" w:rsidTr="00834967">
        <w:tc>
          <w:tcPr>
            <w:tcW w:w="2268" w:type="dxa"/>
            <w:tcBorders>
              <w:bottom w:val="single" w:sz="4" w:space="0" w:color="auto"/>
            </w:tcBorders>
            <w:shd w:val="clear" w:color="auto" w:fill="E6E6E6"/>
          </w:tcPr>
          <w:p w14:paraId="7B583FA9" w14:textId="77777777" w:rsidR="00834967" w:rsidRPr="00657E57" w:rsidRDefault="00834967" w:rsidP="00834967">
            <w:pPr>
              <w:rPr>
                <w:rFonts w:cs="Arial"/>
                <w:b/>
              </w:rPr>
            </w:pPr>
            <w:r w:rsidRPr="00657E57">
              <w:rPr>
                <w:rFonts w:cs="Arial"/>
                <w:b/>
              </w:rPr>
              <w:t>Timescales following referral</w:t>
            </w:r>
          </w:p>
        </w:tc>
        <w:tc>
          <w:tcPr>
            <w:tcW w:w="6970" w:type="dxa"/>
            <w:tcBorders>
              <w:bottom w:val="single" w:sz="4" w:space="0" w:color="auto"/>
            </w:tcBorders>
            <w:shd w:val="clear" w:color="auto" w:fill="auto"/>
          </w:tcPr>
          <w:p w14:paraId="038F4091" w14:textId="77777777" w:rsidR="00834967" w:rsidRPr="00657E57" w:rsidRDefault="00834967" w:rsidP="00834967">
            <w:pPr>
              <w:rPr>
                <w:rFonts w:cs="Arial"/>
              </w:rPr>
            </w:pPr>
            <w:r>
              <w:rPr>
                <w:rFonts w:cs="Arial"/>
              </w:rPr>
              <w:t>n/a</w:t>
            </w:r>
          </w:p>
        </w:tc>
      </w:tr>
    </w:tbl>
    <w:p w14:paraId="60516376" w14:textId="77777777" w:rsidR="00834967" w:rsidRDefault="00834967" w:rsidP="00834967"/>
    <w:p w14:paraId="2D617F8F" w14:textId="77777777" w:rsidR="00834967" w:rsidRPr="00427FE1" w:rsidRDefault="00834967" w:rsidP="00834967">
      <w:pPr>
        <w:rPr>
          <w:b/>
          <w:sz w:val="28"/>
          <w:szCs w:val="28"/>
        </w:rPr>
      </w:pPr>
      <w:r w:rsidRPr="00427FE1">
        <w:rPr>
          <w:b/>
          <w:sz w:val="28"/>
          <w:szCs w:val="28"/>
        </w:rPr>
        <w:t>Risks</w:t>
      </w:r>
      <w:r>
        <w:rPr>
          <w:b/>
          <w:sz w:val="28"/>
          <w:szCs w:val="28"/>
        </w:rPr>
        <w:t xml:space="preserve"> due to</w:t>
      </w:r>
      <w:r w:rsidRPr="00427FE1">
        <w:rPr>
          <w:b/>
          <w:sz w:val="28"/>
          <w:szCs w:val="28"/>
        </w:rPr>
        <w:t xml:space="preserve"> </w:t>
      </w:r>
      <w:r>
        <w:rPr>
          <w:b/>
          <w:sz w:val="28"/>
          <w:szCs w:val="28"/>
        </w:rPr>
        <w:t>anti-social behaviour</w:t>
      </w:r>
      <w:r w:rsidRPr="00427FE1">
        <w:rPr>
          <w:b/>
          <w:sz w:val="28"/>
          <w:szCs w:val="28"/>
        </w:rPr>
        <w:t xml:space="preserve">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1C7081BB" w14:textId="77777777" w:rsidTr="000D17A1">
        <w:tc>
          <w:tcPr>
            <w:tcW w:w="9238" w:type="dxa"/>
            <w:gridSpan w:val="2"/>
            <w:shd w:val="clear" w:color="auto" w:fill="7030A0"/>
          </w:tcPr>
          <w:p w14:paraId="106754B0" w14:textId="77777777" w:rsidR="00834967" w:rsidRPr="000D17A1" w:rsidRDefault="00834967" w:rsidP="00834967">
            <w:pPr>
              <w:jc w:val="center"/>
              <w:rPr>
                <w:rFonts w:cs="Arial"/>
                <w:b/>
                <w:color w:val="FFFFFF" w:themeColor="background1"/>
              </w:rPr>
            </w:pPr>
            <w:r w:rsidRPr="000D17A1">
              <w:rPr>
                <w:rFonts w:cs="Arial"/>
                <w:b/>
                <w:color w:val="FFFFFF" w:themeColor="background1"/>
              </w:rPr>
              <w:t>AVATAH</w:t>
            </w:r>
          </w:p>
          <w:p w14:paraId="67289F34" w14:textId="77777777" w:rsidR="00834967" w:rsidRPr="000D17A1" w:rsidRDefault="00834967" w:rsidP="00834967">
            <w:pPr>
              <w:jc w:val="center"/>
              <w:rPr>
                <w:rFonts w:cs="Arial"/>
                <w:color w:val="FFFFFF" w:themeColor="background1"/>
              </w:rPr>
            </w:pPr>
            <w:r w:rsidRPr="000D17A1">
              <w:rPr>
                <w:rFonts w:cs="Arial"/>
                <w:color w:val="FFFFFF" w:themeColor="background1"/>
              </w:rPr>
              <w:t>A Victim Approach to Anti-social behaviour Hub</w:t>
            </w:r>
          </w:p>
        </w:tc>
      </w:tr>
      <w:tr w:rsidR="00834967" w:rsidRPr="00657E57" w14:paraId="70FB109C" w14:textId="77777777" w:rsidTr="00834967">
        <w:tc>
          <w:tcPr>
            <w:tcW w:w="2268" w:type="dxa"/>
            <w:shd w:val="clear" w:color="auto" w:fill="E0E0E0"/>
          </w:tcPr>
          <w:p w14:paraId="232DB5BB"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2BA195C2" w14:textId="77777777" w:rsidR="00834967" w:rsidRPr="00657E57" w:rsidRDefault="00834967" w:rsidP="00834967">
            <w:pPr>
              <w:rPr>
                <w:rFonts w:cs="Arial"/>
              </w:rPr>
            </w:pPr>
            <w:r w:rsidRPr="00657E57">
              <w:rPr>
                <w:rFonts w:cs="Arial"/>
              </w:rPr>
              <w:t>Local Authority</w:t>
            </w:r>
            <w:r>
              <w:rPr>
                <w:rFonts w:cs="Arial"/>
              </w:rPr>
              <w:t xml:space="preserve"> and Police</w:t>
            </w:r>
          </w:p>
        </w:tc>
      </w:tr>
      <w:tr w:rsidR="00834967" w:rsidRPr="00657E57" w14:paraId="04624ED9" w14:textId="77777777" w:rsidTr="00834967">
        <w:tc>
          <w:tcPr>
            <w:tcW w:w="2268" w:type="dxa"/>
            <w:shd w:val="clear" w:color="auto" w:fill="E0E0E0"/>
          </w:tcPr>
          <w:p w14:paraId="6AB92868"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5C5001CF" w14:textId="77777777" w:rsidR="00834967" w:rsidRPr="00657E57" w:rsidRDefault="00834967" w:rsidP="00834967">
            <w:pPr>
              <w:rPr>
                <w:rFonts w:cs="Arial"/>
              </w:rPr>
            </w:pPr>
            <w:r>
              <w:rPr>
                <w:rFonts w:cs="Arial"/>
              </w:rPr>
              <w:t>Police, HASBET</w:t>
            </w:r>
            <w:r w:rsidRPr="00657E57">
              <w:rPr>
                <w:rFonts w:cs="Arial"/>
              </w:rPr>
              <w:t xml:space="preserve">, </w:t>
            </w:r>
            <w:r>
              <w:rPr>
                <w:rFonts w:cs="Arial"/>
              </w:rPr>
              <w:t>Local Authority (</w:t>
            </w:r>
            <w:r w:rsidRPr="00657E57">
              <w:rPr>
                <w:rFonts w:cs="Arial"/>
              </w:rPr>
              <w:t>Regulatory Services</w:t>
            </w:r>
            <w:r>
              <w:rPr>
                <w:rFonts w:cs="Arial"/>
              </w:rPr>
              <w:t>)</w:t>
            </w:r>
            <w:r w:rsidRPr="00657E57">
              <w:rPr>
                <w:rFonts w:cs="Arial"/>
              </w:rPr>
              <w:t>, Victim Support</w:t>
            </w:r>
            <w:r>
              <w:rPr>
                <w:rFonts w:cs="Arial"/>
              </w:rPr>
              <w:t>, Safe Newcastle</w:t>
            </w:r>
          </w:p>
        </w:tc>
      </w:tr>
      <w:tr w:rsidR="00834967" w:rsidRPr="00657E57" w14:paraId="5B10DAB0" w14:textId="77777777" w:rsidTr="00834967">
        <w:tc>
          <w:tcPr>
            <w:tcW w:w="2268" w:type="dxa"/>
            <w:shd w:val="clear" w:color="auto" w:fill="E0E0E0"/>
          </w:tcPr>
          <w:p w14:paraId="4A779CD8"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69C8E548" w14:textId="77777777" w:rsidR="00834967" w:rsidRPr="000D17A1" w:rsidRDefault="00834967" w:rsidP="00834967">
            <w:pPr>
              <w:rPr>
                <w:rFonts w:cs="Arial"/>
              </w:rPr>
            </w:pPr>
            <w:r w:rsidRPr="000D17A1">
              <w:rPr>
                <w:rFonts w:cs="Arial"/>
              </w:rPr>
              <w:t xml:space="preserve">Vulnerable victims (not meeting safeguarding adults criteria) of anti-social behaviour no matter what the tenure of the property is. </w:t>
            </w:r>
          </w:p>
        </w:tc>
      </w:tr>
      <w:tr w:rsidR="00834967" w:rsidRPr="00657E57" w14:paraId="0B0A45F9" w14:textId="77777777" w:rsidTr="00834967">
        <w:tc>
          <w:tcPr>
            <w:tcW w:w="2268" w:type="dxa"/>
            <w:shd w:val="clear" w:color="auto" w:fill="E0E0E0"/>
          </w:tcPr>
          <w:p w14:paraId="30A2827B"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65747BC7" w14:textId="77777777" w:rsidR="00834967" w:rsidRPr="00657E57" w:rsidRDefault="00834967" w:rsidP="00834967">
            <w:pPr>
              <w:rPr>
                <w:rFonts w:cs="Arial"/>
              </w:rPr>
            </w:pPr>
            <w:r w:rsidRPr="00657E57">
              <w:rPr>
                <w:rFonts w:cs="Arial"/>
              </w:rPr>
              <w:t>Complete victim vulnerability assessment</w:t>
            </w:r>
          </w:p>
          <w:p w14:paraId="40BD6BFE" w14:textId="77777777" w:rsidR="00834967" w:rsidRPr="00657E57" w:rsidRDefault="00834967" w:rsidP="00834967">
            <w:pPr>
              <w:rPr>
                <w:rFonts w:cs="Arial"/>
              </w:rPr>
            </w:pPr>
            <w:r w:rsidRPr="00657E57">
              <w:rPr>
                <w:rFonts w:cs="Arial"/>
              </w:rPr>
              <w:t>Complete AVATA</w:t>
            </w:r>
            <w:r>
              <w:rPr>
                <w:rFonts w:cs="Arial"/>
              </w:rPr>
              <w:t>H</w:t>
            </w:r>
            <w:r w:rsidRPr="00657E57">
              <w:rPr>
                <w:rFonts w:cs="Arial"/>
              </w:rPr>
              <w:t xml:space="preserve"> referral form and send to AVATA</w:t>
            </w:r>
            <w:r>
              <w:rPr>
                <w:rFonts w:cs="Arial"/>
              </w:rPr>
              <w:t>H</w:t>
            </w:r>
            <w:r w:rsidRPr="00657E57">
              <w:rPr>
                <w:rFonts w:cs="Arial"/>
              </w:rPr>
              <w:t xml:space="preserve"> Coordinator</w:t>
            </w:r>
            <w:r>
              <w:rPr>
                <w:rFonts w:cs="Arial"/>
              </w:rPr>
              <w:t xml:space="preserve"> (contact AVATAH Coordinator for referral form: 0191 211 6117)</w:t>
            </w:r>
          </w:p>
          <w:p w14:paraId="3DE4BBED" w14:textId="77777777" w:rsidR="00834967" w:rsidRPr="00657E57" w:rsidRDefault="00834967" w:rsidP="00834967">
            <w:pPr>
              <w:rPr>
                <w:rFonts w:cs="Arial"/>
              </w:rPr>
            </w:pPr>
            <w:r w:rsidRPr="00657E57">
              <w:rPr>
                <w:rFonts w:cs="Arial"/>
              </w:rPr>
              <w:t>Links into HASBET (</w:t>
            </w:r>
            <w:r>
              <w:rPr>
                <w:rFonts w:cs="Arial"/>
              </w:rPr>
              <w:t xml:space="preserve">see </w:t>
            </w:r>
            <w:r w:rsidRPr="00657E57">
              <w:rPr>
                <w:rFonts w:cs="Arial"/>
              </w:rPr>
              <w:t xml:space="preserve">below). </w:t>
            </w:r>
          </w:p>
        </w:tc>
      </w:tr>
      <w:tr w:rsidR="00834967" w:rsidRPr="00657E57" w14:paraId="1093196F" w14:textId="77777777" w:rsidTr="00834967">
        <w:tc>
          <w:tcPr>
            <w:tcW w:w="2268" w:type="dxa"/>
            <w:shd w:val="clear" w:color="auto" w:fill="E0E0E0"/>
          </w:tcPr>
          <w:p w14:paraId="242B10E3" w14:textId="77777777" w:rsidR="00834967" w:rsidRPr="00657E57" w:rsidRDefault="00834967" w:rsidP="00834967">
            <w:pPr>
              <w:rPr>
                <w:rFonts w:cs="Arial"/>
                <w:b/>
              </w:rPr>
            </w:pPr>
            <w:r w:rsidRPr="00657E57">
              <w:rPr>
                <w:rFonts w:cs="Arial"/>
                <w:b/>
              </w:rPr>
              <w:t>Timescales following referral</w:t>
            </w:r>
          </w:p>
        </w:tc>
        <w:tc>
          <w:tcPr>
            <w:tcW w:w="6970" w:type="dxa"/>
            <w:shd w:val="clear" w:color="auto" w:fill="auto"/>
          </w:tcPr>
          <w:p w14:paraId="2333AD7B" w14:textId="77777777" w:rsidR="00834967" w:rsidRPr="00657E57" w:rsidRDefault="00834967" w:rsidP="00834967">
            <w:pPr>
              <w:rPr>
                <w:rFonts w:cs="Arial"/>
              </w:rPr>
            </w:pPr>
            <w:r>
              <w:rPr>
                <w:rFonts w:cs="Arial"/>
              </w:rPr>
              <w:t xml:space="preserve">AVATAH Meetings have a two week cycle on a Tuesday. Referrals will be considered at the next meeting. </w:t>
            </w:r>
          </w:p>
        </w:tc>
      </w:tr>
    </w:tbl>
    <w:p w14:paraId="76437151" w14:textId="77777777" w:rsidR="00834967" w:rsidRDefault="00834967" w:rsidP="00834967"/>
    <w:p w14:paraId="145F20E5" w14:textId="77777777" w:rsidR="00834967" w:rsidRDefault="00834967" w:rsidP="00834967"/>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7466960D" w14:textId="77777777" w:rsidTr="000D17A1">
        <w:tc>
          <w:tcPr>
            <w:tcW w:w="9238" w:type="dxa"/>
            <w:gridSpan w:val="2"/>
            <w:shd w:val="clear" w:color="auto" w:fill="7030A0"/>
          </w:tcPr>
          <w:p w14:paraId="207DBD65" w14:textId="77777777" w:rsidR="00834967" w:rsidRPr="000D17A1" w:rsidRDefault="00281F6D" w:rsidP="00834967">
            <w:pPr>
              <w:jc w:val="center"/>
              <w:rPr>
                <w:rFonts w:cs="Arial"/>
                <w:b/>
                <w:color w:val="FFFFFF" w:themeColor="background1"/>
              </w:rPr>
            </w:pPr>
            <w:hyperlink r:id="rId18" w:history="1">
              <w:r w:rsidR="00834967" w:rsidRPr="000D17A1">
                <w:rPr>
                  <w:rStyle w:val="Hyperlink"/>
                  <w:b/>
                  <w:color w:val="FFFFFF" w:themeColor="background1"/>
                </w:rPr>
                <w:t>HASBET</w:t>
              </w:r>
            </w:hyperlink>
          </w:p>
          <w:p w14:paraId="12D79B1E" w14:textId="77777777" w:rsidR="00834967" w:rsidRPr="000D17A1" w:rsidRDefault="00834967" w:rsidP="00834967">
            <w:pPr>
              <w:jc w:val="center"/>
              <w:rPr>
                <w:rFonts w:cs="Arial"/>
                <w:color w:val="FFFFFF" w:themeColor="background1"/>
              </w:rPr>
            </w:pPr>
            <w:r w:rsidRPr="000D17A1">
              <w:rPr>
                <w:rFonts w:cs="Arial"/>
                <w:color w:val="FFFFFF" w:themeColor="background1"/>
              </w:rPr>
              <w:t>Housing and Anti-Social Behaviour &amp; Enforcement Team</w:t>
            </w:r>
          </w:p>
        </w:tc>
      </w:tr>
      <w:tr w:rsidR="00834967" w:rsidRPr="00657E57" w14:paraId="61ACFA2E" w14:textId="77777777" w:rsidTr="00834967">
        <w:tc>
          <w:tcPr>
            <w:tcW w:w="2268" w:type="dxa"/>
            <w:shd w:val="clear" w:color="auto" w:fill="E0E0E0"/>
          </w:tcPr>
          <w:p w14:paraId="1E976DDB"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325E2B39" w14:textId="77777777" w:rsidR="00834967" w:rsidRPr="00657E57" w:rsidRDefault="000D17A1" w:rsidP="00834967">
            <w:pPr>
              <w:rPr>
                <w:rFonts w:cs="Arial"/>
              </w:rPr>
            </w:pPr>
            <w:r>
              <w:rPr>
                <w:rFonts w:cs="Arial"/>
              </w:rPr>
              <w:t>Your Homes Newcastle (YHN)</w:t>
            </w:r>
          </w:p>
        </w:tc>
      </w:tr>
      <w:tr w:rsidR="00834967" w:rsidRPr="00657E57" w14:paraId="497483FD" w14:textId="77777777" w:rsidTr="00834967">
        <w:tc>
          <w:tcPr>
            <w:tcW w:w="2268" w:type="dxa"/>
            <w:shd w:val="clear" w:color="auto" w:fill="E0E0E0"/>
          </w:tcPr>
          <w:p w14:paraId="440693B2"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4B5CFD76" w14:textId="77777777" w:rsidR="00834967" w:rsidRPr="00657E57" w:rsidRDefault="00834967" w:rsidP="00834967">
            <w:pPr>
              <w:rPr>
                <w:rFonts w:cs="Arial"/>
              </w:rPr>
            </w:pPr>
            <w:r w:rsidRPr="00657E57">
              <w:rPr>
                <w:rFonts w:cs="Arial"/>
              </w:rPr>
              <w:t>Police, Victim Support</w:t>
            </w:r>
          </w:p>
        </w:tc>
      </w:tr>
      <w:tr w:rsidR="00834967" w:rsidRPr="00657E57" w14:paraId="17344D9D" w14:textId="77777777" w:rsidTr="00834967">
        <w:tc>
          <w:tcPr>
            <w:tcW w:w="2268" w:type="dxa"/>
            <w:shd w:val="clear" w:color="auto" w:fill="E0E0E0"/>
          </w:tcPr>
          <w:p w14:paraId="15F85EE0"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745C624E" w14:textId="77777777" w:rsidR="00834967" w:rsidRPr="000D17A1" w:rsidRDefault="00834967" w:rsidP="00834967">
            <w:pPr>
              <w:rPr>
                <w:rFonts w:cs="Arial"/>
              </w:rPr>
            </w:pPr>
            <w:r w:rsidRPr="000D17A1">
              <w:rPr>
                <w:rFonts w:cs="Arial"/>
              </w:rPr>
              <w:t xml:space="preserve">Victims of anti-social behaviour who live in a YHN property or those who are victims of anti-social behaviour where the perpetrator is a YHN tenant. </w:t>
            </w:r>
          </w:p>
        </w:tc>
      </w:tr>
      <w:tr w:rsidR="00834967" w:rsidRPr="00657E57" w14:paraId="1365589D" w14:textId="77777777" w:rsidTr="00834967">
        <w:tc>
          <w:tcPr>
            <w:tcW w:w="2268" w:type="dxa"/>
            <w:shd w:val="clear" w:color="auto" w:fill="E0E0E0"/>
          </w:tcPr>
          <w:p w14:paraId="4C923C80"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2127EABF" w14:textId="77777777" w:rsidR="00834967" w:rsidRPr="00657E57" w:rsidRDefault="00834967" w:rsidP="00834967">
            <w:pPr>
              <w:rPr>
                <w:rFonts w:cs="Arial"/>
              </w:rPr>
            </w:pPr>
            <w:r w:rsidRPr="00657E57">
              <w:rPr>
                <w:rFonts w:cs="Arial"/>
              </w:rPr>
              <w:t xml:space="preserve">Online reporting form, in person at YHN Office, or via telephone. </w:t>
            </w:r>
          </w:p>
        </w:tc>
      </w:tr>
      <w:tr w:rsidR="00834967" w:rsidRPr="00657E57" w14:paraId="5483360E" w14:textId="77777777" w:rsidTr="00834967">
        <w:tc>
          <w:tcPr>
            <w:tcW w:w="2268" w:type="dxa"/>
            <w:shd w:val="clear" w:color="auto" w:fill="E0E0E0"/>
          </w:tcPr>
          <w:p w14:paraId="32052D7E" w14:textId="77777777" w:rsidR="00834967" w:rsidRPr="00657E57" w:rsidRDefault="00834967" w:rsidP="00834967">
            <w:pPr>
              <w:rPr>
                <w:rFonts w:cs="Arial"/>
                <w:b/>
              </w:rPr>
            </w:pPr>
            <w:r w:rsidRPr="00657E57">
              <w:rPr>
                <w:rFonts w:cs="Arial"/>
                <w:b/>
              </w:rPr>
              <w:t>Timescales following referral</w:t>
            </w:r>
          </w:p>
        </w:tc>
        <w:tc>
          <w:tcPr>
            <w:tcW w:w="6970" w:type="dxa"/>
            <w:shd w:val="clear" w:color="auto" w:fill="auto"/>
          </w:tcPr>
          <w:p w14:paraId="0BAF05EE" w14:textId="77777777" w:rsidR="00834967" w:rsidRPr="00657E57" w:rsidRDefault="00834967" w:rsidP="00834967">
            <w:pPr>
              <w:rPr>
                <w:rFonts w:cs="Arial"/>
              </w:rPr>
            </w:pPr>
            <w:r w:rsidRPr="00657E57">
              <w:rPr>
                <w:rFonts w:cs="Arial"/>
              </w:rPr>
              <w:t xml:space="preserve">Dependent upon each case. A Housing Enforcement Officer will be assigned to a case and will set out clear timescales for their investigation. </w:t>
            </w:r>
          </w:p>
        </w:tc>
      </w:tr>
    </w:tbl>
    <w:p w14:paraId="48BD9293" w14:textId="77777777" w:rsidR="00834967" w:rsidRDefault="00834967" w:rsidP="00834967"/>
    <w:p w14:paraId="2BACE2ED" w14:textId="77777777" w:rsidR="00834967" w:rsidRDefault="00834967" w:rsidP="00834967">
      <w:pPr>
        <w:rPr>
          <w:b/>
          <w:sz w:val="28"/>
          <w:szCs w:val="28"/>
        </w:rPr>
      </w:pPr>
      <w:r w:rsidRPr="000F117E">
        <w:rPr>
          <w:b/>
          <w:sz w:val="28"/>
          <w:szCs w:val="28"/>
        </w:rPr>
        <w:t xml:space="preserve">Risks </w:t>
      </w:r>
      <w:r>
        <w:rPr>
          <w:b/>
          <w:sz w:val="28"/>
          <w:szCs w:val="28"/>
        </w:rPr>
        <w:t>within</w:t>
      </w:r>
      <w:r w:rsidRPr="000F117E">
        <w:rPr>
          <w:b/>
          <w:sz w:val="28"/>
          <w:szCs w:val="28"/>
        </w:rPr>
        <w:t xml:space="preserve"> communities/neighbourhoods</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26597D4E" w14:textId="77777777" w:rsidTr="000D17A1">
        <w:tc>
          <w:tcPr>
            <w:tcW w:w="9238" w:type="dxa"/>
            <w:gridSpan w:val="2"/>
            <w:shd w:val="clear" w:color="auto" w:fill="7030A0"/>
          </w:tcPr>
          <w:p w14:paraId="228A698D" w14:textId="77777777" w:rsidR="00834967" w:rsidRPr="000D17A1" w:rsidRDefault="00834967" w:rsidP="00834967">
            <w:pPr>
              <w:jc w:val="center"/>
              <w:rPr>
                <w:rFonts w:cs="Arial"/>
                <w:b/>
                <w:color w:val="FFFFFF" w:themeColor="background1"/>
              </w:rPr>
            </w:pPr>
            <w:r w:rsidRPr="000D17A1">
              <w:rPr>
                <w:rFonts w:cs="Arial"/>
                <w:b/>
                <w:color w:val="FFFFFF" w:themeColor="background1"/>
              </w:rPr>
              <w:t>SNAPS</w:t>
            </w:r>
          </w:p>
          <w:p w14:paraId="33001CB1" w14:textId="77777777" w:rsidR="00834967" w:rsidRPr="000D17A1" w:rsidRDefault="00834967" w:rsidP="00834967">
            <w:pPr>
              <w:jc w:val="center"/>
              <w:rPr>
                <w:rFonts w:cs="Arial"/>
                <w:color w:val="FFFFFF" w:themeColor="background1"/>
              </w:rPr>
            </w:pPr>
            <w:r w:rsidRPr="000D17A1">
              <w:rPr>
                <w:rFonts w:cs="Arial"/>
                <w:color w:val="FFFFFF" w:themeColor="background1"/>
              </w:rPr>
              <w:t>Safe Neighbourhood and Problem Solving</w:t>
            </w:r>
          </w:p>
        </w:tc>
      </w:tr>
      <w:tr w:rsidR="00834967" w:rsidRPr="00657E57" w14:paraId="300F1028" w14:textId="77777777" w:rsidTr="00834967">
        <w:tc>
          <w:tcPr>
            <w:tcW w:w="2268" w:type="dxa"/>
            <w:shd w:val="clear" w:color="auto" w:fill="E0E0E0"/>
          </w:tcPr>
          <w:p w14:paraId="5228EC5B"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070042CB" w14:textId="77777777" w:rsidR="00834967" w:rsidRPr="00657E57" w:rsidRDefault="00834967" w:rsidP="00834967">
            <w:pPr>
              <w:rPr>
                <w:rFonts w:cs="Arial"/>
              </w:rPr>
            </w:pPr>
            <w:r w:rsidRPr="00657E57">
              <w:rPr>
                <w:rFonts w:cs="Arial"/>
              </w:rPr>
              <w:t>Police</w:t>
            </w:r>
            <w:r>
              <w:rPr>
                <w:rFonts w:cs="Arial"/>
              </w:rPr>
              <w:t xml:space="preserve"> and Local Authority</w:t>
            </w:r>
          </w:p>
        </w:tc>
      </w:tr>
      <w:tr w:rsidR="00834967" w:rsidRPr="00657E57" w14:paraId="7916592D" w14:textId="77777777" w:rsidTr="00834967">
        <w:tc>
          <w:tcPr>
            <w:tcW w:w="2268" w:type="dxa"/>
            <w:shd w:val="clear" w:color="auto" w:fill="E0E0E0"/>
          </w:tcPr>
          <w:p w14:paraId="4CEBA107"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068D62DC" w14:textId="77777777" w:rsidR="00834967" w:rsidRPr="00657E57" w:rsidRDefault="00834967" w:rsidP="00834967">
            <w:pPr>
              <w:rPr>
                <w:rFonts w:cs="Arial"/>
              </w:rPr>
            </w:pPr>
            <w:r w:rsidRPr="00657E57">
              <w:rPr>
                <w:rFonts w:cs="Arial"/>
              </w:rPr>
              <w:t>Housing, Probation, Elected Member for Ward, Fire Service</w:t>
            </w:r>
          </w:p>
        </w:tc>
      </w:tr>
      <w:tr w:rsidR="00834967" w:rsidRPr="00657E57" w14:paraId="7B9EBBDC" w14:textId="77777777" w:rsidTr="00834967">
        <w:tc>
          <w:tcPr>
            <w:tcW w:w="2268" w:type="dxa"/>
            <w:shd w:val="clear" w:color="auto" w:fill="E0E0E0"/>
          </w:tcPr>
          <w:p w14:paraId="69680995"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57448B3E" w14:textId="77777777" w:rsidR="00834967" w:rsidRPr="000D17A1" w:rsidRDefault="00834967" w:rsidP="00834967">
            <w:r w:rsidRPr="000D17A1">
              <w:t>A group where members share information about community safety issues that are happening in a particular ward. Issues could include: environmental health, parking, anti-social behaviour etc</w:t>
            </w:r>
          </w:p>
        </w:tc>
      </w:tr>
      <w:tr w:rsidR="00834967" w:rsidRPr="00657E57" w14:paraId="680B6697" w14:textId="77777777" w:rsidTr="00834967">
        <w:tc>
          <w:tcPr>
            <w:tcW w:w="2268" w:type="dxa"/>
            <w:shd w:val="clear" w:color="auto" w:fill="E0E0E0"/>
          </w:tcPr>
          <w:p w14:paraId="1399EE2C"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1352BC38" w14:textId="77777777" w:rsidR="00834967" w:rsidRPr="00657E57" w:rsidRDefault="00834967" w:rsidP="00834967">
            <w:pPr>
              <w:rPr>
                <w:rFonts w:cs="Arial"/>
              </w:rPr>
            </w:pPr>
            <w:r>
              <w:rPr>
                <w:rFonts w:cs="Arial"/>
              </w:rPr>
              <w:t>The meetings consider emerging and potential problems. These can be identified in a variety of different ways: crime or disorder information, information from the public passed onto Elected Members, other intelligence from SNAPS members.</w:t>
            </w:r>
          </w:p>
        </w:tc>
      </w:tr>
      <w:tr w:rsidR="00834967" w:rsidRPr="00657E57" w14:paraId="5C7FD634" w14:textId="77777777" w:rsidTr="00834967">
        <w:tc>
          <w:tcPr>
            <w:tcW w:w="2268" w:type="dxa"/>
            <w:tcBorders>
              <w:bottom w:val="single" w:sz="4" w:space="0" w:color="auto"/>
            </w:tcBorders>
            <w:shd w:val="clear" w:color="auto" w:fill="E0E0E0"/>
          </w:tcPr>
          <w:p w14:paraId="186B9C2E" w14:textId="77777777" w:rsidR="00834967" w:rsidRPr="00657E57" w:rsidRDefault="00834967" w:rsidP="00834967">
            <w:pPr>
              <w:rPr>
                <w:rFonts w:cs="Arial"/>
                <w:b/>
              </w:rPr>
            </w:pPr>
            <w:r w:rsidRPr="00657E57">
              <w:rPr>
                <w:rFonts w:cs="Arial"/>
                <w:b/>
              </w:rPr>
              <w:t>Timescales following referral</w:t>
            </w:r>
          </w:p>
        </w:tc>
        <w:tc>
          <w:tcPr>
            <w:tcW w:w="6970" w:type="dxa"/>
            <w:tcBorders>
              <w:bottom w:val="single" w:sz="4" w:space="0" w:color="auto"/>
            </w:tcBorders>
            <w:shd w:val="clear" w:color="auto" w:fill="auto"/>
          </w:tcPr>
          <w:p w14:paraId="735344B5" w14:textId="77777777" w:rsidR="00834967" w:rsidRPr="00657E57" w:rsidRDefault="00834967" w:rsidP="00834967">
            <w:pPr>
              <w:rPr>
                <w:rFonts w:cs="Arial"/>
              </w:rPr>
            </w:pPr>
            <w:r>
              <w:rPr>
                <w:rFonts w:cs="Arial"/>
              </w:rPr>
              <w:t xml:space="preserve">There are different meeting cycles depending on the Ward. </w:t>
            </w:r>
          </w:p>
        </w:tc>
      </w:tr>
    </w:tbl>
    <w:p w14:paraId="2F496BDF" w14:textId="77777777" w:rsidR="00834967" w:rsidRDefault="00834967" w:rsidP="00834967"/>
    <w:p w14:paraId="2EBC21D4" w14:textId="77777777" w:rsidR="000D17A1" w:rsidRDefault="000D17A1" w:rsidP="00834967"/>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0"/>
      </w:tblGrid>
      <w:tr w:rsidR="000D17A1" w:rsidRPr="000D17A1" w14:paraId="277DC963" w14:textId="77777777" w:rsidTr="000D17A1">
        <w:tc>
          <w:tcPr>
            <w:tcW w:w="9238" w:type="dxa"/>
            <w:gridSpan w:val="2"/>
            <w:shd w:val="clear" w:color="auto" w:fill="7030A0"/>
          </w:tcPr>
          <w:p w14:paraId="026A975D" w14:textId="77777777" w:rsidR="00834967" w:rsidRPr="000D17A1" w:rsidRDefault="00834967" w:rsidP="00834967">
            <w:pPr>
              <w:jc w:val="center"/>
              <w:rPr>
                <w:rFonts w:cs="Arial"/>
                <w:b/>
                <w:color w:val="FFFFFF" w:themeColor="background1"/>
              </w:rPr>
            </w:pPr>
            <w:r w:rsidRPr="000D17A1">
              <w:rPr>
                <w:rFonts w:cs="Arial"/>
                <w:b/>
                <w:color w:val="FFFFFF" w:themeColor="background1"/>
              </w:rPr>
              <w:lastRenderedPageBreak/>
              <w:t>SAPS</w:t>
            </w:r>
          </w:p>
          <w:p w14:paraId="4E3D79FD" w14:textId="77777777" w:rsidR="00834967" w:rsidRPr="000D17A1" w:rsidRDefault="00834967" w:rsidP="00834967">
            <w:pPr>
              <w:jc w:val="center"/>
              <w:rPr>
                <w:rFonts w:cs="Arial"/>
                <w:color w:val="FFFFFF" w:themeColor="background1"/>
              </w:rPr>
            </w:pPr>
            <w:r w:rsidRPr="000D17A1">
              <w:rPr>
                <w:rFonts w:cs="Arial"/>
                <w:color w:val="FFFFFF" w:themeColor="background1"/>
              </w:rPr>
              <w:t xml:space="preserve">Stand-Alone Problem Solving </w:t>
            </w:r>
          </w:p>
        </w:tc>
      </w:tr>
      <w:tr w:rsidR="00834967" w:rsidRPr="00657E57" w14:paraId="34D660CD" w14:textId="77777777" w:rsidTr="00834967">
        <w:tc>
          <w:tcPr>
            <w:tcW w:w="2268" w:type="dxa"/>
            <w:shd w:val="clear" w:color="auto" w:fill="E0E0E0"/>
          </w:tcPr>
          <w:p w14:paraId="1FA3A9B7" w14:textId="77777777" w:rsidR="00834967" w:rsidRPr="00657E57" w:rsidRDefault="00834967" w:rsidP="00834967">
            <w:pPr>
              <w:rPr>
                <w:rFonts w:cs="Arial"/>
                <w:b/>
              </w:rPr>
            </w:pPr>
            <w:r w:rsidRPr="00657E57">
              <w:rPr>
                <w:rFonts w:cs="Arial"/>
                <w:b/>
              </w:rPr>
              <w:t>Lead Agency</w:t>
            </w:r>
          </w:p>
        </w:tc>
        <w:tc>
          <w:tcPr>
            <w:tcW w:w="6970" w:type="dxa"/>
            <w:shd w:val="clear" w:color="auto" w:fill="auto"/>
          </w:tcPr>
          <w:p w14:paraId="64B2A7A5" w14:textId="77777777" w:rsidR="00834967" w:rsidRPr="00657E57" w:rsidRDefault="00834967" w:rsidP="00834967">
            <w:pPr>
              <w:rPr>
                <w:rFonts w:cs="Arial"/>
              </w:rPr>
            </w:pPr>
            <w:r w:rsidRPr="00657E57">
              <w:rPr>
                <w:rFonts w:cs="Arial"/>
              </w:rPr>
              <w:t>Dependent on case</w:t>
            </w:r>
            <w:r>
              <w:rPr>
                <w:rFonts w:cs="Arial"/>
              </w:rPr>
              <w:t>.</w:t>
            </w:r>
          </w:p>
        </w:tc>
      </w:tr>
      <w:tr w:rsidR="00834967" w:rsidRPr="00657E57" w14:paraId="3796F190" w14:textId="77777777" w:rsidTr="00834967">
        <w:tc>
          <w:tcPr>
            <w:tcW w:w="2268" w:type="dxa"/>
            <w:shd w:val="clear" w:color="auto" w:fill="E0E0E0"/>
          </w:tcPr>
          <w:p w14:paraId="1F4C559E" w14:textId="77777777" w:rsidR="00834967" w:rsidRPr="00657E57" w:rsidRDefault="00834967" w:rsidP="00834967">
            <w:pPr>
              <w:rPr>
                <w:rFonts w:cs="Arial"/>
                <w:b/>
              </w:rPr>
            </w:pPr>
            <w:r w:rsidRPr="00657E57">
              <w:rPr>
                <w:rFonts w:cs="Arial"/>
                <w:b/>
              </w:rPr>
              <w:t>Key Partners</w:t>
            </w:r>
          </w:p>
        </w:tc>
        <w:tc>
          <w:tcPr>
            <w:tcW w:w="6970" w:type="dxa"/>
            <w:shd w:val="clear" w:color="auto" w:fill="auto"/>
          </w:tcPr>
          <w:p w14:paraId="4E7D4A44" w14:textId="77777777" w:rsidR="00834967" w:rsidRPr="00657E57" w:rsidRDefault="00834967" w:rsidP="00834967">
            <w:pPr>
              <w:rPr>
                <w:rFonts w:cs="Arial"/>
              </w:rPr>
            </w:pPr>
            <w:r w:rsidRPr="00657E57">
              <w:rPr>
                <w:rFonts w:cs="Arial"/>
              </w:rPr>
              <w:t>Specific to case</w:t>
            </w:r>
            <w:r>
              <w:rPr>
                <w:rFonts w:cs="Arial"/>
              </w:rPr>
              <w:t>.</w:t>
            </w:r>
          </w:p>
        </w:tc>
      </w:tr>
      <w:tr w:rsidR="00834967" w:rsidRPr="00657E57" w14:paraId="2C766FE7" w14:textId="77777777" w:rsidTr="00834967">
        <w:tc>
          <w:tcPr>
            <w:tcW w:w="2268" w:type="dxa"/>
            <w:shd w:val="clear" w:color="auto" w:fill="E0E0E0"/>
          </w:tcPr>
          <w:p w14:paraId="34BDF981" w14:textId="77777777" w:rsidR="00834967" w:rsidRPr="00657E57" w:rsidRDefault="00834967" w:rsidP="00834967">
            <w:pPr>
              <w:rPr>
                <w:rFonts w:cs="Arial"/>
                <w:b/>
              </w:rPr>
            </w:pPr>
            <w:r w:rsidRPr="00657E57">
              <w:rPr>
                <w:rFonts w:cs="Arial"/>
                <w:b/>
              </w:rPr>
              <w:t>Criteria/threshold</w:t>
            </w:r>
          </w:p>
        </w:tc>
        <w:tc>
          <w:tcPr>
            <w:tcW w:w="6970" w:type="dxa"/>
            <w:shd w:val="clear" w:color="auto" w:fill="auto"/>
          </w:tcPr>
          <w:p w14:paraId="77199BAF" w14:textId="77777777" w:rsidR="00834967" w:rsidRPr="00657E57" w:rsidRDefault="00834967" w:rsidP="00834967">
            <w:pPr>
              <w:rPr>
                <w:rFonts w:cs="Arial"/>
              </w:rPr>
            </w:pPr>
            <w:r>
              <w:rPr>
                <w:rFonts w:cs="Arial"/>
              </w:rPr>
              <w:t>Meetings are in response to emerging i</w:t>
            </w:r>
            <w:r w:rsidRPr="00657E57">
              <w:rPr>
                <w:rFonts w:cs="Arial"/>
              </w:rPr>
              <w:t>ssues</w:t>
            </w:r>
            <w:r>
              <w:rPr>
                <w:rFonts w:cs="Arial"/>
              </w:rPr>
              <w:t xml:space="preserve"> which require focused multi-agency intervention. </w:t>
            </w:r>
            <w:r w:rsidRPr="00657E57">
              <w:rPr>
                <w:rFonts w:cs="Arial"/>
              </w:rPr>
              <w:t xml:space="preserve"> </w:t>
            </w:r>
          </w:p>
        </w:tc>
      </w:tr>
      <w:tr w:rsidR="00834967" w:rsidRPr="00657E57" w14:paraId="06ACC610" w14:textId="77777777" w:rsidTr="00834967">
        <w:tc>
          <w:tcPr>
            <w:tcW w:w="2268" w:type="dxa"/>
            <w:shd w:val="clear" w:color="auto" w:fill="E0E0E0"/>
          </w:tcPr>
          <w:p w14:paraId="56AFB6FA" w14:textId="77777777" w:rsidR="00834967" w:rsidRPr="00657E57" w:rsidRDefault="00834967" w:rsidP="00834967">
            <w:pPr>
              <w:rPr>
                <w:rFonts w:cs="Arial"/>
                <w:b/>
              </w:rPr>
            </w:pPr>
            <w:r w:rsidRPr="00657E57">
              <w:rPr>
                <w:rFonts w:cs="Arial"/>
                <w:b/>
              </w:rPr>
              <w:t>Referral process</w:t>
            </w:r>
          </w:p>
        </w:tc>
        <w:tc>
          <w:tcPr>
            <w:tcW w:w="6970" w:type="dxa"/>
            <w:shd w:val="clear" w:color="auto" w:fill="auto"/>
          </w:tcPr>
          <w:p w14:paraId="2E0B684B" w14:textId="77777777" w:rsidR="00834967" w:rsidRPr="00657E57" w:rsidRDefault="00834967" w:rsidP="00834967">
            <w:pPr>
              <w:rPr>
                <w:rFonts w:cs="Arial"/>
              </w:rPr>
            </w:pPr>
            <w:r w:rsidRPr="00657E57">
              <w:rPr>
                <w:rFonts w:cs="Arial"/>
              </w:rPr>
              <w:t>Via SNAPS</w:t>
            </w:r>
            <w:r>
              <w:rPr>
                <w:rFonts w:cs="Arial"/>
              </w:rPr>
              <w:t xml:space="preserve"> meetings.</w:t>
            </w:r>
          </w:p>
        </w:tc>
      </w:tr>
      <w:tr w:rsidR="00834967" w:rsidRPr="00657E57" w14:paraId="1F68234F" w14:textId="77777777" w:rsidTr="00834967">
        <w:tc>
          <w:tcPr>
            <w:tcW w:w="2268" w:type="dxa"/>
            <w:shd w:val="clear" w:color="auto" w:fill="E0E0E0"/>
          </w:tcPr>
          <w:p w14:paraId="2D370BDC" w14:textId="77777777" w:rsidR="00834967" w:rsidRPr="00657E57" w:rsidRDefault="00834967" w:rsidP="00834967">
            <w:pPr>
              <w:rPr>
                <w:rFonts w:cs="Arial"/>
                <w:b/>
              </w:rPr>
            </w:pPr>
            <w:r w:rsidRPr="00657E57">
              <w:rPr>
                <w:rFonts w:cs="Arial"/>
                <w:b/>
              </w:rPr>
              <w:t>Timescales following referral</w:t>
            </w:r>
          </w:p>
        </w:tc>
        <w:tc>
          <w:tcPr>
            <w:tcW w:w="6970" w:type="dxa"/>
            <w:shd w:val="clear" w:color="auto" w:fill="auto"/>
          </w:tcPr>
          <w:p w14:paraId="33CECBAB" w14:textId="77777777" w:rsidR="00834967" w:rsidRPr="00657E57" w:rsidRDefault="00834967" w:rsidP="00834967">
            <w:pPr>
              <w:rPr>
                <w:rFonts w:cs="Arial"/>
              </w:rPr>
            </w:pPr>
            <w:r>
              <w:rPr>
                <w:rFonts w:cs="Arial"/>
              </w:rPr>
              <w:t>Dependent on case.</w:t>
            </w:r>
          </w:p>
        </w:tc>
      </w:tr>
    </w:tbl>
    <w:p w14:paraId="791F4C69" w14:textId="77777777" w:rsidR="009057B0" w:rsidRDefault="009057B0" w:rsidP="000D17A1"/>
    <w:sectPr w:rsidR="009057B0" w:rsidSect="002714AC">
      <w:footerReference w:type="even" r:id="rId19"/>
      <w:footerReference w:type="default" r:id="rId20"/>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CAD4E" w14:textId="77777777" w:rsidR="000D17A1" w:rsidRDefault="000D17A1" w:rsidP="009057B0">
      <w:r>
        <w:separator/>
      </w:r>
    </w:p>
  </w:endnote>
  <w:endnote w:type="continuationSeparator" w:id="0">
    <w:p w14:paraId="18211E4D" w14:textId="77777777" w:rsidR="000D17A1" w:rsidRDefault="000D17A1" w:rsidP="0090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EEFB" w14:textId="77777777" w:rsidR="000D17A1" w:rsidRDefault="000D17A1" w:rsidP="00834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5F305" w14:textId="77777777" w:rsidR="000D17A1" w:rsidRDefault="000D17A1" w:rsidP="008349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2BD7" w14:textId="77777777" w:rsidR="000D17A1" w:rsidRDefault="000D17A1" w:rsidP="00834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0D2E">
      <w:rPr>
        <w:rStyle w:val="PageNumber"/>
        <w:noProof/>
      </w:rPr>
      <w:t>1</w:t>
    </w:r>
    <w:r>
      <w:rPr>
        <w:rStyle w:val="PageNumber"/>
      </w:rPr>
      <w:fldChar w:fldCharType="end"/>
    </w:r>
  </w:p>
  <w:p w14:paraId="03029CF1" w14:textId="77777777" w:rsidR="000D17A1" w:rsidRDefault="000D17A1" w:rsidP="0083496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B413" w14:textId="77777777" w:rsidR="000D17A1" w:rsidRDefault="000D17A1" w:rsidP="00834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563131" w14:textId="77777777" w:rsidR="000D17A1" w:rsidRDefault="000D17A1" w:rsidP="0083496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B176" w14:textId="77777777" w:rsidR="000D17A1" w:rsidRDefault="000D17A1" w:rsidP="00834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0D2E">
      <w:rPr>
        <w:rStyle w:val="PageNumber"/>
        <w:noProof/>
      </w:rPr>
      <w:t>9</w:t>
    </w:r>
    <w:r>
      <w:rPr>
        <w:rStyle w:val="PageNumber"/>
      </w:rPr>
      <w:fldChar w:fldCharType="end"/>
    </w:r>
  </w:p>
  <w:p w14:paraId="0274B4E4" w14:textId="77777777" w:rsidR="000D17A1" w:rsidRDefault="000D17A1" w:rsidP="008349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AEF6" w14:textId="77777777" w:rsidR="000D17A1" w:rsidRDefault="000D17A1" w:rsidP="009057B0">
      <w:r>
        <w:separator/>
      </w:r>
    </w:p>
  </w:footnote>
  <w:footnote w:type="continuationSeparator" w:id="0">
    <w:p w14:paraId="07DFEB73" w14:textId="77777777" w:rsidR="000D17A1" w:rsidRDefault="000D17A1" w:rsidP="00905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24F695E"/>
    <w:multiLevelType w:val="hybridMultilevel"/>
    <w:tmpl w:val="48BE3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7F0AB1"/>
    <w:multiLevelType w:val="hybridMultilevel"/>
    <w:tmpl w:val="290CFDD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FF1807"/>
    <w:multiLevelType w:val="multilevel"/>
    <w:tmpl w:val="37040A34"/>
    <w:lvl w:ilvl="0">
      <w:start w:val="1"/>
      <w:numFmt w:val="decimal"/>
      <w:lvlText w:val="Section %1 "/>
      <w:lvlJc w:val="left"/>
      <w:pPr>
        <w:tabs>
          <w:tab w:val="num" w:pos="1440"/>
        </w:tabs>
        <w:ind w:left="432" w:hanging="432"/>
      </w:pPr>
      <w:rPr>
        <w:color w:val="800080"/>
      </w:rPr>
    </w:lvl>
    <w:lvl w:ilvl="1">
      <w:start w:val="1"/>
      <w:numFmt w:val="decimal"/>
      <w:pStyle w:val="Heading2"/>
      <w:lvlText w:val="%1.%2"/>
      <w:lvlJc w:val="left"/>
      <w:pPr>
        <w:tabs>
          <w:tab w:val="num" w:pos="1080"/>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B4217DD"/>
    <w:multiLevelType w:val="hybridMultilevel"/>
    <w:tmpl w:val="46EAE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A0799D"/>
    <w:multiLevelType w:val="hybridMultilevel"/>
    <w:tmpl w:val="720E11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D1B4F69"/>
    <w:multiLevelType w:val="hybridMultilevel"/>
    <w:tmpl w:val="99DC3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2"/>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B0"/>
    <w:rsid w:val="0005669A"/>
    <w:rsid w:val="000D17A1"/>
    <w:rsid w:val="00107991"/>
    <w:rsid w:val="002714AC"/>
    <w:rsid w:val="00275DD1"/>
    <w:rsid w:val="00281F6D"/>
    <w:rsid w:val="004F1010"/>
    <w:rsid w:val="00510FD3"/>
    <w:rsid w:val="00566CF7"/>
    <w:rsid w:val="00592115"/>
    <w:rsid w:val="007375AC"/>
    <w:rsid w:val="00834967"/>
    <w:rsid w:val="009057B0"/>
    <w:rsid w:val="009917EC"/>
    <w:rsid w:val="00A53598"/>
    <w:rsid w:val="00AA5D7D"/>
    <w:rsid w:val="00C67BB9"/>
    <w:rsid w:val="00DB0168"/>
    <w:rsid w:val="00DC0D2E"/>
    <w:rsid w:val="00F2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5C003"/>
  <w15:docId w15:val="{F36CAB60-70D7-4E44-B74A-422E4A6C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057B0"/>
    <w:rPr>
      <w:rFonts w:ascii="Arial" w:hAnsi="Arial"/>
      <w:sz w:val="24"/>
      <w:szCs w:val="24"/>
      <w:lang w:eastAsia="en-US"/>
    </w:rPr>
  </w:style>
  <w:style w:type="paragraph" w:styleId="Heading1">
    <w:name w:val="heading 1"/>
    <w:basedOn w:val="Normal"/>
    <w:next w:val="Normal"/>
    <w:link w:val="Heading1Char"/>
    <w:qFormat/>
    <w:rsid w:val="009057B0"/>
    <w:pPr>
      <w:keepNext/>
      <w:outlineLvl w:val="0"/>
    </w:pPr>
    <w:rPr>
      <w:rFonts w:cs="Arial"/>
      <w:b/>
      <w:color w:val="FFFFFF"/>
      <w:sz w:val="28"/>
      <w:szCs w:val="28"/>
    </w:rPr>
  </w:style>
  <w:style w:type="paragraph" w:styleId="Heading2">
    <w:name w:val="heading 2"/>
    <w:basedOn w:val="Normal"/>
    <w:next w:val="BodyText"/>
    <w:link w:val="Heading2Char"/>
    <w:qFormat/>
    <w:rsid w:val="009057B0"/>
    <w:pPr>
      <w:keepNext/>
      <w:numPr>
        <w:ilvl w:val="1"/>
        <w:numId w:val="1"/>
      </w:numPr>
      <w:pBdr>
        <w:top w:val="single" w:sz="4" w:space="1" w:color="800080"/>
        <w:left w:val="single" w:sz="4" w:space="4" w:color="800080"/>
        <w:bottom w:val="single" w:sz="4" w:space="1" w:color="800080"/>
        <w:right w:val="single" w:sz="4" w:space="4" w:color="800080"/>
      </w:pBdr>
      <w:shd w:val="clear" w:color="auto" w:fill="800080"/>
      <w:tabs>
        <w:tab w:val="left" w:pos="851"/>
      </w:tabs>
      <w:spacing w:before="240" w:after="120" w:line="300" w:lineRule="atLeast"/>
      <w:outlineLvl w:val="1"/>
    </w:pPr>
    <w:rPr>
      <w:rFonts w:cs="Arial"/>
      <w:caps/>
      <w:color w:val="FFFFFF"/>
      <w:spacing w:val="-4"/>
      <w:sz w:val="26"/>
      <w:szCs w:val="20"/>
      <w:u w:color="800080"/>
    </w:rPr>
  </w:style>
  <w:style w:type="paragraph" w:styleId="Heading3">
    <w:name w:val="heading 3"/>
    <w:basedOn w:val="Normal"/>
    <w:next w:val="BodyText"/>
    <w:link w:val="Heading3Char"/>
    <w:qFormat/>
    <w:rsid w:val="009057B0"/>
    <w:pPr>
      <w:keepNext/>
      <w:numPr>
        <w:ilvl w:val="2"/>
        <w:numId w:val="1"/>
      </w:numPr>
      <w:pBdr>
        <w:bottom w:val="single" w:sz="8" w:space="1" w:color="800080"/>
      </w:pBdr>
      <w:tabs>
        <w:tab w:val="left" w:pos="851"/>
      </w:tabs>
      <w:spacing w:before="240" w:after="60" w:line="300" w:lineRule="atLeast"/>
      <w:outlineLvl w:val="2"/>
    </w:pPr>
    <w:rPr>
      <w:rFonts w:cs="Arial"/>
      <w:caps/>
      <w:color w:val="800080"/>
      <w:spacing w:val="-10"/>
      <w:sz w:val="26"/>
      <w:szCs w:val="20"/>
      <w:u w:color="800080"/>
    </w:rPr>
  </w:style>
  <w:style w:type="paragraph" w:styleId="Heading4">
    <w:name w:val="heading 4"/>
    <w:basedOn w:val="Normal"/>
    <w:next w:val="Normal"/>
    <w:link w:val="Heading4Char"/>
    <w:qFormat/>
    <w:rsid w:val="009057B0"/>
    <w:pPr>
      <w:keepNext/>
      <w:autoSpaceDE w:val="0"/>
      <w:autoSpaceDN w:val="0"/>
      <w:adjustRightInd w:val="0"/>
      <w:outlineLvl w:val="3"/>
    </w:pPr>
    <w:rPr>
      <w:rFonts w:cs="Arial"/>
      <w:b/>
      <w:color w:val="FFFFFF"/>
      <w:sz w:val="32"/>
      <w:szCs w:val="28"/>
      <w:lang w:val="en-US"/>
    </w:rPr>
  </w:style>
  <w:style w:type="paragraph" w:styleId="Heading5">
    <w:name w:val="heading 5"/>
    <w:basedOn w:val="Normal"/>
    <w:next w:val="Normal"/>
    <w:link w:val="Heading5Char"/>
    <w:qFormat/>
    <w:rsid w:val="009057B0"/>
    <w:pPr>
      <w:spacing w:before="240" w:after="60"/>
      <w:outlineLvl w:val="4"/>
    </w:pPr>
    <w:rPr>
      <w:rFonts w:cs="Arial"/>
      <w:b/>
      <w:bCs/>
      <w:i/>
      <w:iCs/>
      <w:sz w:val="26"/>
      <w:szCs w:val="26"/>
    </w:rPr>
  </w:style>
  <w:style w:type="paragraph" w:styleId="Heading6">
    <w:name w:val="heading 6"/>
    <w:basedOn w:val="Normal"/>
    <w:next w:val="Normal"/>
    <w:link w:val="Heading6Char"/>
    <w:qFormat/>
    <w:rsid w:val="009057B0"/>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057B0"/>
    <w:pPr>
      <w:spacing w:before="240" w:after="60"/>
      <w:outlineLvl w:val="6"/>
    </w:pPr>
    <w:rPr>
      <w:rFonts w:ascii="Times New Roman" w:hAnsi="Times New Roman"/>
    </w:rPr>
  </w:style>
  <w:style w:type="paragraph" w:styleId="Heading8">
    <w:name w:val="heading 8"/>
    <w:basedOn w:val="Normal"/>
    <w:next w:val="Normal"/>
    <w:link w:val="Heading8Char"/>
    <w:qFormat/>
    <w:rsid w:val="009057B0"/>
    <w:pPr>
      <w:keepNext/>
      <w:outlineLvl w:val="7"/>
    </w:pPr>
    <w:rPr>
      <w:rFonts w:cs="Arial"/>
      <w:b/>
      <w:bCs/>
      <w:color w:val="FFFFFF"/>
      <w:sz w:val="40"/>
      <w:szCs w:val="36"/>
    </w:rPr>
  </w:style>
  <w:style w:type="paragraph" w:styleId="Heading9">
    <w:name w:val="heading 9"/>
    <w:basedOn w:val="Normal"/>
    <w:next w:val="Normal"/>
    <w:link w:val="Heading9Char"/>
    <w:qFormat/>
    <w:rsid w:val="009057B0"/>
    <w:pPr>
      <w:keepNext/>
      <w:jc w:val="center"/>
      <w:outlineLvl w:val="8"/>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57B0"/>
    <w:rPr>
      <w:rFonts w:ascii="Arial" w:hAnsi="Arial" w:cs="Arial"/>
      <w:b/>
      <w:color w:val="FFFFFF"/>
      <w:sz w:val="28"/>
      <w:szCs w:val="28"/>
      <w:lang w:eastAsia="en-US"/>
    </w:rPr>
  </w:style>
  <w:style w:type="character" w:customStyle="1" w:styleId="Heading2Char">
    <w:name w:val="Heading 2 Char"/>
    <w:basedOn w:val="DefaultParagraphFont"/>
    <w:link w:val="Heading2"/>
    <w:rsid w:val="009057B0"/>
    <w:rPr>
      <w:rFonts w:ascii="Arial" w:hAnsi="Arial" w:cs="Arial"/>
      <w:caps/>
      <w:color w:val="FFFFFF"/>
      <w:spacing w:val="-4"/>
      <w:sz w:val="26"/>
      <w:u w:color="800080"/>
      <w:shd w:val="clear" w:color="auto" w:fill="800080"/>
      <w:lang w:eastAsia="en-US"/>
    </w:rPr>
  </w:style>
  <w:style w:type="character" w:customStyle="1" w:styleId="Heading3Char">
    <w:name w:val="Heading 3 Char"/>
    <w:basedOn w:val="DefaultParagraphFont"/>
    <w:link w:val="Heading3"/>
    <w:rsid w:val="009057B0"/>
    <w:rPr>
      <w:rFonts w:ascii="Arial" w:hAnsi="Arial" w:cs="Arial"/>
      <w:caps/>
      <w:color w:val="800080"/>
      <w:spacing w:val="-10"/>
      <w:sz w:val="26"/>
      <w:u w:color="800080"/>
      <w:lang w:eastAsia="en-US"/>
    </w:rPr>
  </w:style>
  <w:style w:type="character" w:customStyle="1" w:styleId="Heading4Char">
    <w:name w:val="Heading 4 Char"/>
    <w:basedOn w:val="DefaultParagraphFont"/>
    <w:link w:val="Heading4"/>
    <w:rsid w:val="009057B0"/>
    <w:rPr>
      <w:rFonts w:ascii="Arial" w:hAnsi="Arial" w:cs="Arial"/>
      <w:b/>
      <w:color w:val="FFFFFF"/>
      <w:sz w:val="32"/>
      <w:szCs w:val="28"/>
      <w:lang w:val="en-US" w:eastAsia="en-US"/>
    </w:rPr>
  </w:style>
  <w:style w:type="character" w:customStyle="1" w:styleId="Heading5Char">
    <w:name w:val="Heading 5 Char"/>
    <w:basedOn w:val="DefaultParagraphFont"/>
    <w:link w:val="Heading5"/>
    <w:rsid w:val="009057B0"/>
    <w:rPr>
      <w:rFonts w:ascii="Arial" w:hAnsi="Arial" w:cs="Arial"/>
      <w:b/>
      <w:bCs/>
      <w:i/>
      <w:iCs/>
      <w:sz w:val="26"/>
      <w:szCs w:val="26"/>
      <w:lang w:eastAsia="en-US"/>
    </w:rPr>
  </w:style>
  <w:style w:type="character" w:customStyle="1" w:styleId="Heading6Char">
    <w:name w:val="Heading 6 Char"/>
    <w:basedOn w:val="DefaultParagraphFont"/>
    <w:link w:val="Heading6"/>
    <w:rsid w:val="009057B0"/>
    <w:rPr>
      <w:b/>
      <w:bCs/>
      <w:sz w:val="22"/>
      <w:szCs w:val="22"/>
      <w:lang w:eastAsia="en-US"/>
    </w:rPr>
  </w:style>
  <w:style w:type="character" w:customStyle="1" w:styleId="Heading7Char">
    <w:name w:val="Heading 7 Char"/>
    <w:basedOn w:val="DefaultParagraphFont"/>
    <w:link w:val="Heading7"/>
    <w:rsid w:val="009057B0"/>
    <w:rPr>
      <w:sz w:val="24"/>
      <w:szCs w:val="24"/>
      <w:lang w:eastAsia="en-US"/>
    </w:rPr>
  </w:style>
  <w:style w:type="character" w:customStyle="1" w:styleId="Heading8Char">
    <w:name w:val="Heading 8 Char"/>
    <w:basedOn w:val="DefaultParagraphFont"/>
    <w:link w:val="Heading8"/>
    <w:rsid w:val="009057B0"/>
    <w:rPr>
      <w:rFonts w:ascii="Arial" w:hAnsi="Arial" w:cs="Arial"/>
      <w:b/>
      <w:bCs/>
      <w:color w:val="FFFFFF"/>
      <w:sz w:val="40"/>
      <w:szCs w:val="36"/>
      <w:lang w:eastAsia="en-US"/>
    </w:rPr>
  </w:style>
  <w:style w:type="character" w:customStyle="1" w:styleId="Heading9Char">
    <w:name w:val="Heading 9 Char"/>
    <w:basedOn w:val="DefaultParagraphFont"/>
    <w:link w:val="Heading9"/>
    <w:rsid w:val="009057B0"/>
    <w:rPr>
      <w:rFonts w:ascii="Arial" w:hAnsi="Arial" w:cs="Arial"/>
      <w:b/>
      <w:bCs/>
      <w:sz w:val="22"/>
      <w:szCs w:val="24"/>
      <w:lang w:eastAsia="en-US"/>
    </w:rPr>
  </w:style>
  <w:style w:type="numbering" w:customStyle="1" w:styleId="NoList1">
    <w:name w:val="No List1"/>
    <w:next w:val="NoList"/>
    <w:semiHidden/>
    <w:rsid w:val="009057B0"/>
  </w:style>
  <w:style w:type="paragraph" w:styleId="BodyText">
    <w:name w:val="Body Text"/>
    <w:basedOn w:val="Normal"/>
    <w:link w:val="BodyTextChar"/>
    <w:rsid w:val="009057B0"/>
    <w:pPr>
      <w:spacing w:after="120"/>
    </w:pPr>
    <w:rPr>
      <w:rFonts w:cs="Arial"/>
      <w:sz w:val="22"/>
    </w:rPr>
  </w:style>
  <w:style w:type="character" w:customStyle="1" w:styleId="BodyTextChar">
    <w:name w:val="Body Text Char"/>
    <w:basedOn w:val="DefaultParagraphFont"/>
    <w:link w:val="BodyText"/>
    <w:rsid w:val="009057B0"/>
    <w:rPr>
      <w:rFonts w:ascii="Arial" w:hAnsi="Arial" w:cs="Arial"/>
      <w:sz w:val="22"/>
      <w:szCs w:val="24"/>
      <w:lang w:eastAsia="en-US"/>
    </w:rPr>
  </w:style>
  <w:style w:type="paragraph" w:styleId="BodyText2">
    <w:name w:val="Body Text 2"/>
    <w:basedOn w:val="Normal"/>
    <w:link w:val="BodyText2Char"/>
    <w:rsid w:val="009057B0"/>
    <w:pPr>
      <w:spacing w:after="120" w:line="480" w:lineRule="auto"/>
    </w:pPr>
    <w:rPr>
      <w:rFonts w:cs="Arial"/>
      <w:sz w:val="22"/>
    </w:rPr>
  </w:style>
  <w:style w:type="character" w:customStyle="1" w:styleId="BodyText2Char">
    <w:name w:val="Body Text 2 Char"/>
    <w:basedOn w:val="DefaultParagraphFont"/>
    <w:link w:val="BodyText2"/>
    <w:rsid w:val="009057B0"/>
    <w:rPr>
      <w:rFonts w:ascii="Arial" w:hAnsi="Arial" w:cs="Arial"/>
      <w:sz w:val="22"/>
      <w:szCs w:val="24"/>
      <w:lang w:eastAsia="en-US"/>
    </w:rPr>
  </w:style>
  <w:style w:type="character" w:styleId="FootnoteReference">
    <w:name w:val="footnote reference"/>
    <w:basedOn w:val="DefaultParagraphFont"/>
    <w:rsid w:val="009057B0"/>
    <w:rPr>
      <w:vertAlign w:val="superscript"/>
    </w:rPr>
  </w:style>
  <w:style w:type="paragraph" w:styleId="BalloonText">
    <w:name w:val="Balloon Text"/>
    <w:basedOn w:val="Normal"/>
    <w:link w:val="BalloonTextChar"/>
    <w:rsid w:val="009057B0"/>
    <w:rPr>
      <w:rFonts w:ascii="Tahoma" w:hAnsi="Tahoma" w:cs="Tahoma"/>
      <w:sz w:val="16"/>
      <w:szCs w:val="16"/>
    </w:rPr>
  </w:style>
  <w:style w:type="character" w:customStyle="1" w:styleId="BalloonTextChar">
    <w:name w:val="Balloon Text Char"/>
    <w:basedOn w:val="DefaultParagraphFont"/>
    <w:link w:val="BalloonText"/>
    <w:rsid w:val="009057B0"/>
    <w:rPr>
      <w:rFonts w:ascii="Tahoma" w:hAnsi="Tahoma" w:cs="Tahoma"/>
      <w:sz w:val="16"/>
      <w:szCs w:val="16"/>
      <w:lang w:eastAsia="en-US"/>
    </w:rPr>
  </w:style>
  <w:style w:type="paragraph" w:styleId="FootnoteText">
    <w:name w:val="footnote text"/>
    <w:basedOn w:val="Normal"/>
    <w:link w:val="FootnoteTextChar"/>
    <w:rsid w:val="009057B0"/>
    <w:rPr>
      <w:rFonts w:cs="Arial"/>
      <w:sz w:val="20"/>
      <w:szCs w:val="20"/>
    </w:rPr>
  </w:style>
  <w:style w:type="character" w:customStyle="1" w:styleId="FootnoteTextChar">
    <w:name w:val="Footnote Text Char"/>
    <w:basedOn w:val="DefaultParagraphFont"/>
    <w:link w:val="FootnoteText"/>
    <w:rsid w:val="009057B0"/>
    <w:rPr>
      <w:rFonts w:ascii="Arial" w:hAnsi="Arial" w:cs="Arial"/>
      <w:lang w:eastAsia="en-US"/>
    </w:rPr>
  </w:style>
  <w:style w:type="character" w:styleId="FollowedHyperlink">
    <w:name w:val="FollowedHyperlink"/>
    <w:basedOn w:val="DefaultParagraphFont"/>
    <w:rsid w:val="009057B0"/>
    <w:rPr>
      <w:color w:val="800080"/>
      <w:u w:val="single"/>
    </w:rPr>
  </w:style>
  <w:style w:type="character" w:styleId="Hyperlink">
    <w:name w:val="Hyperlink"/>
    <w:basedOn w:val="DefaultParagraphFont"/>
    <w:rsid w:val="009057B0"/>
    <w:rPr>
      <w:color w:val="0000FF"/>
      <w:u w:val="single"/>
    </w:rPr>
  </w:style>
  <w:style w:type="paragraph" w:styleId="Header">
    <w:name w:val="header"/>
    <w:basedOn w:val="Normal"/>
    <w:link w:val="HeaderChar"/>
    <w:uiPriority w:val="99"/>
    <w:rsid w:val="009057B0"/>
    <w:pPr>
      <w:tabs>
        <w:tab w:val="center" w:pos="4153"/>
        <w:tab w:val="right" w:pos="8306"/>
      </w:tabs>
    </w:pPr>
    <w:rPr>
      <w:rFonts w:cs="Arial"/>
      <w:sz w:val="22"/>
    </w:rPr>
  </w:style>
  <w:style w:type="character" w:customStyle="1" w:styleId="HeaderChar">
    <w:name w:val="Header Char"/>
    <w:basedOn w:val="DefaultParagraphFont"/>
    <w:link w:val="Header"/>
    <w:uiPriority w:val="99"/>
    <w:rsid w:val="009057B0"/>
    <w:rPr>
      <w:rFonts w:ascii="Arial" w:hAnsi="Arial" w:cs="Arial"/>
      <w:sz w:val="22"/>
      <w:szCs w:val="24"/>
      <w:lang w:eastAsia="en-US"/>
    </w:rPr>
  </w:style>
  <w:style w:type="paragraph" w:styleId="BodyText3">
    <w:name w:val="Body Text 3"/>
    <w:basedOn w:val="Normal"/>
    <w:link w:val="BodyText3Char"/>
    <w:rsid w:val="009057B0"/>
    <w:pPr>
      <w:spacing w:after="120"/>
    </w:pPr>
    <w:rPr>
      <w:rFonts w:cs="Arial"/>
      <w:sz w:val="16"/>
      <w:szCs w:val="16"/>
    </w:rPr>
  </w:style>
  <w:style w:type="character" w:customStyle="1" w:styleId="BodyText3Char">
    <w:name w:val="Body Text 3 Char"/>
    <w:basedOn w:val="DefaultParagraphFont"/>
    <w:link w:val="BodyText3"/>
    <w:rsid w:val="009057B0"/>
    <w:rPr>
      <w:rFonts w:ascii="Arial" w:hAnsi="Arial" w:cs="Arial"/>
      <w:sz w:val="16"/>
      <w:szCs w:val="16"/>
      <w:lang w:eastAsia="en-US"/>
    </w:rPr>
  </w:style>
  <w:style w:type="paragraph" w:styleId="Footer">
    <w:name w:val="footer"/>
    <w:basedOn w:val="Normal"/>
    <w:link w:val="FooterChar"/>
    <w:rsid w:val="009057B0"/>
    <w:pPr>
      <w:tabs>
        <w:tab w:val="center" w:pos="4153"/>
        <w:tab w:val="right" w:pos="8306"/>
      </w:tabs>
    </w:pPr>
    <w:rPr>
      <w:rFonts w:cs="Arial"/>
      <w:sz w:val="22"/>
    </w:rPr>
  </w:style>
  <w:style w:type="character" w:customStyle="1" w:styleId="FooterChar">
    <w:name w:val="Footer Char"/>
    <w:basedOn w:val="DefaultParagraphFont"/>
    <w:link w:val="Footer"/>
    <w:rsid w:val="009057B0"/>
    <w:rPr>
      <w:rFonts w:ascii="Arial" w:hAnsi="Arial" w:cs="Arial"/>
      <w:sz w:val="22"/>
      <w:szCs w:val="24"/>
      <w:lang w:eastAsia="en-US"/>
    </w:rPr>
  </w:style>
  <w:style w:type="character" w:styleId="PageNumber">
    <w:name w:val="page number"/>
    <w:basedOn w:val="DefaultParagraphFont"/>
    <w:rsid w:val="009057B0"/>
  </w:style>
  <w:style w:type="paragraph" w:styleId="BodyTextIndent2">
    <w:name w:val="Body Text Indent 2"/>
    <w:basedOn w:val="Normal"/>
    <w:link w:val="BodyTextIndent2Char"/>
    <w:rsid w:val="009057B0"/>
    <w:pPr>
      <w:spacing w:after="120" w:line="480" w:lineRule="auto"/>
      <w:ind w:left="283"/>
    </w:pPr>
    <w:rPr>
      <w:rFonts w:cs="Arial"/>
      <w:sz w:val="22"/>
    </w:rPr>
  </w:style>
  <w:style w:type="character" w:customStyle="1" w:styleId="BodyTextIndent2Char">
    <w:name w:val="Body Text Indent 2 Char"/>
    <w:basedOn w:val="DefaultParagraphFont"/>
    <w:link w:val="BodyTextIndent2"/>
    <w:rsid w:val="009057B0"/>
    <w:rPr>
      <w:rFonts w:ascii="Arial" w:hAnsi="Arial" w:cs="Arial"/>
      <w:sz w:val="22"/>
      <w:szCs w:val="24"/>
      <w:lang w:eastAsia="en-US"/>
    </w:rPr>
  </w:style>
  <w:style w:type="paragraph" w:customStyle="1" w:styleId="Title2">
    <w:name w:val="Title 2"/>
    <w:basedOn w:val="Title"/>
    <w:next w:val="BodyText"/>
    <w:rsid w:val="009057B0"/>
    <w:pPr>
      <w:spacing w:before="0" w:after="240"/>
      <w:jc w:val="left"/>
      <w:outlineLvl w:val="9"/>
    </w:pPr>
    <w:rPr>
      <w:bCs w:val="0"/>
      <w:color w:val="800080"/>
      <w:kern w:val="0"/>
      <w:sz w:val="36"/>
      <w:szCs w:val="20"/>
    </w:rPr>
  </w:style>
  <w:style w:type="paragraph" w:customStyle="1" w:styleId="DfESOutNumbered">
    <w:name w:val="DfESOutNumbered"/>
    <w:basedOn w:val="Normal"/>
    <w:rsid w:val="009057B0"/>
    <w:pPr>
      <w:widowControl w:val="0"/>
      <w:numPr>
        <w:numId w:val="2"/>
      </w:numPr>
      <w:overflowPunct w:val="0"/>
      <w:autoSpaceDE w:val="0"/>
      <w:autoSpaceDN w:val="0"/>
      <w:adjustRightInd w:val="0"/>
      <w:spacing w:after="240"/>
      <w:textAlignment w:val="baseline"/>
    </w:pPr>
    <w:rPr>
      <w:rFonts w:cs="Arial"/>
      <w:sz w:val="22"/>
      <w:szCs w:val="20"/>
    </w:rPr>
  </w:style>
  <w:style w:type="paragraph" w:styleId="Title">
    <w:name w:val="Title"/>
    <w:basedOn w:val="Normal"/>
    <w:link w:val="TitleChar"/>
    <w:qFormat/>
    <w:rsid w:val="009057B0"/>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9057B0"/>
    <w:rPr>
      <w:rFonts w:ascii="Arial" w:hAnsi="Arial" w:cs="Arial"/>
      <w:b/>
      <w:bCs/>
      <w:kern w:val="28"/>
      <w:sz w:val="32"/>
      <w:szCs w:val="32"/>
      <w:lang w:eastAsia="en-US"/>
    </w:rPr>
  </w:style>
  <w:style w:type="paragraph" w:customStyle="1" w:styleId="Bodynarrow">
    <w:name w:val="Body narrow"/>
    <w:basedOn w:val="BodyText"/>
    <w:rsid w:val="009057B0"/>
    <w:pPr>
      <w:spacing w:before="20" w:after="20"/>
      <w:jc w:val="both"/>
    </w:pPr>
    <w:rPr>
      <w:color w:val="000000"/>
      <w:szCs w:val="20"/>
    </w:rPr>
  </w:style>
  <w:style w:type="paragraph" w:customStyle="1" w:styleId="Body9pt">
    <w:name w:val="Body 9pt"/>
    <w:basedOn w:val="Bodynarrow"/>
    <w:rsid w:val="009057B0"/>
    <w:pPr>
      <w:spacing w:after="60" w:line="240" w:lineRule="atLeast"/>
      <w:ind w:right="1049"/>
    </w:pPr>
    <w:rPr>
      <w:sz w:val="18"/>
    </w:rPr>
  </w:style>
  <w:style w:type="character" w:styleId="Strong">
    <w:name w:val="Strong"/>
    <w:basedOn w:val="DefaultParagraphFont"/>
    <w:qFormat/>
    <w:rsid w:val="009057B0"/>
    <w:rPr>
      <w:b/>
      <w:bCs/>
    </w:rPr>
  </w:style>
  <w:style w:type="character" w:customStyle="1" w:styleId="url2">
    <w:name w:val="url2"/>
    <w:basedOn w:val="DefaultParagraphFont"/>
    <w:rsid w:val="009057B0"/>
  </w:style>
  <w:style w:type="paragraph" w:styleId="NormalWeb">
    <w:name w:val="Normal (Web)"/>
    <w:basedOn w:val="Normal"/>
    <w:uiPriority w:val="99"/>
    <w:unhideWhenUsed/>
    <w:rsid w:val="0005669A"/>
    <w:pPr>
      <w:spacing w:before="100" w:beforeAutospacing="1" w:after="100" w:afterAutospacing="1"/>
    </w:pPr>
    <w:rPr>
      <w:rFonts w:ascii="Times New Roman" w:eastAsiaTheme="minorEastAsia" w:hAnsi="Times New Roman"/>
      <w:lang w:eastAsia="en-GB"/>
    </w:rPr>
  </w:style>
  <w:style w:type="table" w:styleId="TableGrid">
    <w:name w:val="Table Grid"/>
    <w:basedOn w:val="TableNormal"/>
    <w:rsid w:val="00A53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598"/>
    <w:pPr>
      <w:ind w:left="720"/>
      <w:contextualSpacing/>
    </w:pPr>
  </w:style>
  <w:style w:type="paragraph" w:styleId="PlainText">
    <w:name w:val="Plain Text"/>
    <w:basedOn w:val="Normal"/>
    <w:link w:val="PlainTextChar"/>
    <w:rsid w:val="00834967"/>
    <w:rPr>
      <w:rFonts w:ascii="Courier New" w:hAnsi="Courier New" w:cs="Courier New"/>
      <w:sz w:val="20"/>
      <w:szCs w:val="20"/>
      <w:lang w:eastAsia="en-GB"/>
    </w:rPr>
  </w:style>
  <w:style w:type="character" w:customStyle="1" w:styleId="PlainTextChar">
    <w:name w:val="Plain Text Char"/>
    <w:basedOn w:val="DefaultParagraphFont"/>
    <w:link w:val="PlainText"/>
    <w:rsid w:val="0083496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castle.gov.uk/health-and-social-care/adult-social-care/report-suspected-adult-abuse" TargetMode="External"/><Relationship Id="rId13" Type="http://schemas.openxmlformats.org/officeDocument/2006/relationships/footer" Target="footer2.xml"/><Relationship Id="rId18" Type="http://schemas.openxmlformats.org/officeDocument/2006/relationships/hyperlink" Target="http://www.yhn.org.uk/tenancy_services/anti_social_behaviour-1/what_is_hasbet.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yhn.org.uk/pdf/Preventing%20Evictions%20Protocol%20Final%20April%202009.pdf" TargetMode="External"/><Relationship Id="rId2" Type="http://schemas.openxmlformats.org/officeDocument/2006/relationships/styles" Target="styles.xml"/><Relationship Id="rId16" Type="http://schemas.openxmlformats.org/officeDocument/2006/relationships/hyperlink" Target="http://www.northumbria.police.uk/advice_and_information/crime_prevention/terroris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ps.mappa.northumbria@northumbria.probation.gsi.gov.uk" TargetMode="External"/><Relationship Id="rId5" Type="http://schemas.openxmlformats.org/officeDocument/2006/relationships/footnotes" Target="footnotes.xml"/><Relationship Id="rId15" Type="http://schemas.openxmlformats.org/officeDocument/2006/relationships/hyperlink" Target="https://www.newcastle.gov.uk/your-council-and-democracy/equality-diversity-and-citizenship/our-equality-services/reporting-racist-and-homophobic-incidents" TargetMode="External"/><Relationship Id="rId10" Type="http://schemas.openxmlformats.org/officeDocument/2006/relationships/hyperlink" Target="http://www.northumbria-probation.co.uk/protectingthepublic/mappa.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newcastlescb.proceduresonline.com/" TargetMode="External"/><Relationship Id="rId14" Type="http://schemas.openxmlformats.org/officeDocument/2006/relationships/hyperlink" Target="http://www.newcastle.gov.uk/health-and-social-care/adult-social-care/safeguarding-adults-information-for-professionals/community-safe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2168</Words>
  <Characters>13561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Fairbank, Claire</dc:creator>
  <cp:lastModifiedBy>John McNeil</cp:lastModifiedBy>
  <cp:revision>2</cp:revision>
  <dcterms:created xsi:type="dcterms:W3CDTF">2019-09-03T16:41:00Z</dcterms:created>
  <dcterms:modified xsi:type="dcterms:W3CDTF">2019-09-03T16:41:00Z</dcterms:modified>
</cp:coreProperties>
</file>