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3A5BE" w14:textId="476EE995" w:rsidR="0071003D" w:rsidRPr="00647B68" w:rsidRDefault="00647B68">
      <w:pPr>
        <w:rPr>
          <w:b/>
          <w:bCs/>
          <w:noProof/>
          <w:sz w:val="28"/>
          <w:szCs w:val="28"/>
          <w:lang w:eastAsia="en-GB"/>
        </w:rPr>
      </w:pPr>
      <w:r w:rsidRPr="00647B68">
        <w:rPr>
          <w:b/>
          <w:bCs/>
          <w:noProof/>
          <w:sz w:val="28"/>
          <w:szCs w:val="28"/>
          <w:lang w:eastAsia="en-GB"/>
        </w:rPr>
        <w:t>APPENDIX 9</w:t>
      </w:r>
    </w:p>
    <w:p w14:paraId="73CA3134" w14:textId="77777777" w:rsidR="0071003D" w:rsidRDefault="0071003D">
      <w:pPr>
        <w:rPr>
          <w:noProof/>
          <w:lang w:eastAsia="en-GB"/>
        </w:rPr>
      </w:pPr>
      <w:r w:rsidRPr="0071003D">
        <w:rPr>
          <w:rFonts w:ascii="Arial" w:eastAsia="Times New Roman" w:hAnsi="Arial" w:cs="Arial"/>
          <w:noProof/>
          <w:sz w:val="24"/>
          <w:szCs w:val="24"/>
          <w:lang w:eastAsia="en-GB"/>
        </w:rPr>
        <w:drawing>
          <wp:inline distT="0" distB="0" distL="0" distR="0" wp14:anchorId="16394D83" wp14:editId="2F5F45AD">
            <wp:extent cx="2378710" cy="646430"/>
            <wp:effectExtent l="0" t="0" r="2540" b="1270"/>
            <wp:docPr id="2" name="Picture 2" descr="C:\Users\hemingwayJ\AppData\Local\Microsoft\Windows\Temporary Internet Files\Content.Outlook\WDG0OA1Z\CDOP logo NSOT.JPG"/>
            <wp:cNvGraphicFramePr/>
            <a:graphic xmlns:a="http://schemas.openxmlformats.org/drawingml/2006/main">
              <a:graphicData uri="http://schemas.openxmlformats.org/drawingml/2006/picture">
                <pic:pic xmlns:pic="http://schemas.openxmlformats.org/drawingml/2006/picture">
                  <pic:nvPicPr>
                    <pic:cNvPr id="4" name="Picture 4" descr="C:\Users\hemingwayJ\AppData\Local\Microsoft\Windows\Temporary Internet Files\Content.Outlook\WDG0OA1Z\CDOP logo NSOT.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8710" cy="646430"/>
                    </a:xfrm>
                    <a:prstGeom prst="rect">
                      <a:avLst/>
                    </a:prstGeom>
                    <a:noFill/>
                    <a:ln>
                      <a:noFill/>
                    </a:ln>
                  </pic:spPr>
                </pic:pic>
              </a:graphicData>
            </a:graphic>
          </wp:inline>
        </w:drawing>
      </w:r>
    </w:p>
    <w:p w14:paraId="2ECE8729" w14:textId="588237A0" w:rsidR="0071003D" w:rsidRPr="002F1B76" w:rsidRDefault="002F1B76">
      <w:pPr>
        <w:rPr>
          <w:rFonts w:ascii="Arial" w:hAnsi="Arial" w:cs="Arial"/>
          <w:b/>
          <w:bCs/>
          <w:noProof/>
          <w:sz w:val="24"/>
          <w:szCs w:val="24"/>
          <w:lang w:eastAsia="en-GB"/>
        </w:rPr>
      </w:pPr>
      <w:r w:rsidRPr="002F1B76">
        <w:rPr>
          <w:rFonts w:ascii="Arial" w:hAnsi="Arial" w:cs="Arial"/>
          <w:b/>
          <w:bCs/>
          <w:noProof/>
          <w:sz w:val="24"/>
          <w:szCs w:val="24"/>
          <w:lang w:eastAsia="en-GB"/>
        </w:rPr>
        <w:t>MARCH 2020</w:t>
      </w:r>
    </w:p>
    <w:p w14:paraId="4423FFB1" w14:textId="77777777" w:rsidR="003C7847" w:rsidRDefault="0071003D">
      <w:pPr>
        <w:rPr>
          <w:rFonts w:ascii="Arial" w:hAnsi="Arial" w:cs="Arial"/>
          <w:noProof/>
          <w:sz w:val="24"/>
          <w:szCs w:val="24"/>
          <w:lang w:eastAsia="en-GB"/>
        </w:rPr>
      </w:pPr>
      <w:r w:rsidRPr="0071003D">
        <w:rPr>
          <w:rFonts w:ascii="Arial" w:hAnsi="Arial" w:cs="Arial"/>
          <w:noProof/>
          <w:sz w:val="24"/>
          <w:szCs w:val="24"/>
          <w:lang w:eastAsia="en-GB"/>
        </w:rPr>
        <w:t>The Children Act 2004</w:t>
      </w:r>
      <w:r w:rsidRPr="0071003D">
        <w:rPr>
          <w:rFonts w:ascii="Arial" w:hAnsi="Arial" w:cs="Arial"/>
          <w:noProof/>
          <w:sz w:val="24"/>
          <w:szCs w:val="24"/>
          <w:vertAlign w:val="superscript"/>
          <w:lang w:eastAsia="en-GB"/>
        </w:rPr>
        <w:footnoteReference w:id="1"/>
      </w:r>
      <w:r w:rsidRPr="0071003D">
        <w:rPr>
          <w:rFonts w:ascii="Arial" w:hAnsi="Arial" w:cs="Arial"/>
          <w:noProof/>
          <w:sz w:val="24"/>
          <w:szCs w:val="24"/>
          <w:lang w:eastAsia="en-GB"/>
        </w:rPr>
        <w:t xml:space="preserve"> provided the legislative framework for the original Child Death Overview Panels (CDOPs) which were established in North and South of Tyne in 2008 and which were supported by well-established local child death review arrangements and reporting arrangements into the Local Safeguarding Children Boards (LSCBs). However, new legislation, the Children and Social Work Act 2017</w:t>
      </w:r>
      <w:r w:rsidRPr="0071003D">
        <w:rPr>
          <w:rFonts w:ascii="Arial" w:hAnsi="Arial" w:cs="Arial"/>
          <w:noProof/>
          <w:sz w:val="24"/>
          <w:szCs w:val="24"/>
          <w:vertAlign w:val="superscript"/>
          <w:lang w:eastAsia="en-GB"/>
        </w:rPr>
        <w:footnoteReference w:id="2"/>
      </w:r>
      <w:r w:rsidRPr="0071003D">
        <w:rPr>
          <w:rFonts w:ascii="Arial" w:hAnsi="Arial" w:cs="Arial"/>
          <w:noProof/>
          <w:sz w:val="24"/>
          <w:szCs w:val="24"/>
          <w:lang w:eastAsia="en-GB"/>
        </w:rPr>
        <w:t xml:space="preserve">  has resulted in amendments to the Children Act 2004 and subsequently changes to the statutory responsibilities for child death reviews.</w:t>
      </w:r>
    </w:p>
    <w:p w14:paraId="3415144D" w14:textId="77777777" w:rsidR="0071003D" w:rsidRPr="0071003D" w:rsidRDefault="0071003D" w:rsidP="0071003D">
      <w:pPr>
        <w:rPr>
          <w:rFonts w:ascii="Arial" w:hAnsi="Arial" w:cs="Arial"/>
          <w:noProof/>
          <w:sz w:val="24"/>
          <w:szCs w:val="24"/>
          <w:lang w:eastAsia="en-GB"/>
        </w:rPr>
      </w:pPr>
      <w:r w:rsidRPr="0071003D">
        <w:rPr>
          <w:rFonts w:ascii="Arial" w:hAnsi="Arial" w:cs="Arial"/>
          <w:noProof/>
          <w:sz w:val="24"/>
          <w:szCs w:val="24"/>
          <w:lang w:eastAsia="en-GB"/>
        </w:rPr>
        <w:t>The responsibility for ensuring child death reviews are carried out is now held by the “</w:t>
      </w:r>
      <w:r w:rsidRPr="0071003D">
        <w:rPr>
          <w:rFonts w:ascii="Arial" w:hAnsi="Arial" w:cs="Arial"/>
          <w:b/>
          <w:i/>
          <w:noProof/>
          <w:sz w:val="24"/>
          <w:szCs w:val="24"/>
          <w:lang w:eastAsia="en-GB"/>
        </w:rPr>
        <w:t>child death review partners</w:t>
      </w:r>
      <w:r w:rsidRPr="0071003D">
        <w:rPr>
          <w:rFonts w:ascii="Arial" w:hAnsi="Arial" w:cs="Arial"/>
          <w:noProof/>
          <w:sz w:val="24"/>
          <w:szCs w:val="24"/>
          <w:lang w:eastAsia="en-GB"/>
        </w:rPr>
        <w:t xml:space="preserve">”, who, in relation to a local authority area in England, are defined as the local authority (LA) for that area and any clinical commissioning groups (CCG)  operating in the LA area. The statutory requirements for the child death review (CDR) partners are fully set out in appendix 2. </w:t>
      </w:r>
    </w:p>
    <w:p w14:paraId="27B89023" w14:textId="77777777" w:rsidR="0071003D" w:rsidRPr="0071003D" w:rsidRDefault="0071003D" w:rsidP="0071003D">
      <w:pPr>
        <w:rPr>
          <w:rFonts w:ascii="Arial" w:hAnsi="Arial" w:cs="Arial"/>
          <w:noProof/>
          <w:sz w:val="24"/>
          <w:szCs w:val="24"/>
          <w:lang w:eastAsia="en-GB"/>
        </w:rPr>
      </w:pPr>
      <w:r w:rsidRPr="0071003D">
        <w:rPr>
          <w:rFonts w:ascii="Arial" w:hAnsi="Arial" w:cs="Arial"/>
          <w:noProof/>
          <w:sz w:val="24"/>
          <w:szCs w:val="24"/>
          <w:lang w:eastAsia="en-GB"/>
        </w:rPr>
        <w:t>The CDR partners must make arrangements to carry out child death reviews and   these arrangements should result in the establishment of a CDOP or equivalent, to review the deaths of all children normally resident in the relevant local authority area, and if they consider it appropriate, the deaths in that area of non-resident children. The CDOP should cover a geographical footprint that enables it to typically review at least 60 child deaths per year.</w:t>
      </w:r>
    </w:p>
    <w:p w14:paraId="6E7E5119" w14:textId="77777777" w:rsidR="0071003D" w:rsidRPr="0071003D" w:rsidRDefault="0071003D" w:rsidP="0071003D">
      <w:pPr>
        <w:rPr>
          <w:rFonts w:ascii="Arial" w:hAnsi="Arial" w:cs="Arial"/>
          <w:noProof/>
          <w:sz w:val="24"/>
          <w:szCs w:val="24"/>
          <w:lang w:eastAsia="en-GB"/>
        </w:rPr>
      </w:pPr>
      <w:r w:rsidRPr="0071003D">
        <w:rPr>
          <w:rFonts w:ascii="Arial" w:hAnsi="Arial" w:cs="Arial"/>
          <w:noProof/>
          <w:sz w:val="24"/>
          <w:szCs w:val="24"/>
          <w:lang w:eastAsia="en-GB"/>
        </w:rPr>
        <w:t>In order to comply with the statutory guidance</w:t>
      </w:r>
      <w:r w:rsidRPr="0071003D">
        <w:rPr>
          <w:rFonts w:ascii="Arial" w:hAnsi="Arial" w:cs="Arial"/>
          <w:noProof/>
          <w:sz w:val="24"/>
          <w:szCs w:val="24"/>
          <w:vertAlign w:val="superscript"/>
          <w:lang w:eastAsia="en-GB"/>
        </w:rPr>
        <w:footnoteReference w:id="3"/>
      </w:r>
      <w:r w:rsidRPr="0071003D">
        <w:rPr>
          <w:rFonts w:ascii="Arial" w:hAnsi="Arial" w:cs="Arial"/>
          <w:noProof/>
          <w:sz w:val="24"/>
          <w:szCs w:val="24"/>
          <w:lang w:eastAsia="en-GB"/>
        </w:rPr>
        <w:t xml:space="preserve">  the CDR partners for the following localities have agreed to establish one CDOP to cover their combined geographical footprint:</w:t>
      </w:r>
    </w:p>
    <w:p w14:paraId="7EFA29BC" w14:textId="77777777" w:rsidR="0071003D" w:rsidRPr="0071003D" w:rsidRDefault="0071003D" w:rsidP="0071003D">
      <w:pPr>
        <w:spacing w:after="0" w:line="240" w:lineRule="auto"/>
        <w:rPr>
          <w:rFonts w:ascii="Arial" w:hAnsi="Arial" w:cs="Arial"/>
          <w:noProof/>
          <w:sz w:val="24"/>
          <w:szCs w:val="24"/>
          <w:lang w:eastAsia="en-GB"/>
        </w:rPr>
      </w:pPr>
      <w:r w:rsidRPr="0071003D">
        <w:rPr>
          <w:rFonts w:ascii="Arial" w:hAnsi="Arial" w:cs="Arial"/>
          <w:noProof/>
          <w:sz w:val="24"/>
          <w:szCs w:val="24"/>
          <w:lang w:eastAsia="en-GB"/>
        </w:rPr>
        <w:t>•</w:t>
      </w:r>
      <w:r w:rsidRPr="0071003D">
        <w:rPr>
          <w:rFonts w:ascii="Arial" w:hAnsi="Arial" w:cs="Arial"/>
          <w:noProof/>
          <w:sz w:val="24"/>
          <w:szCs w:val="24"/>
          <w:lang w:eastAsia="en-GB"/>
        </w:rPr>
        <w:tab/>
        <w:t>Northumberland</w:t>
      </w:r>
    </w:p>
    <w:p w14:paraId="5E2002A9" w14:textId="77777777" w:rsidR="0071003D" w:rsidRPr="0071003D" w:rsidRDefault="0071003D" w:rsidP="0071003D">
      <w:pPr>
        <w:spacing w:after="0" w:line="240" w:lineRule="auto"/>
        <w:rPr>
          <w:rFonts w:ascii="Arial" w:hAnsi="Arial" w:cs="Arial"/>
          <w:noProof/>
          <w:sz w:val="24"/>
          <w:szCs w:val="24"/>
          <w:lang w:eastAsia="en-GB"/>
        </w:rPr>
      </w:pPr>
      <w:r w:rsidRPr="0071003D">
        <w:rPr>
          <w:rFonts w:ascii="Arial" w:hAnsi="Arial" w:cs="Arial"/>
          <w:noProof/>
          <w:sz w:val="24"/>
          <w:szCs w:val="24"/>
          <w:lang w:eastAsia="en-GB"/>
        </w:rPr>
        <w:t>•</w:t>
      </w:r>
      <w:r w:rsidRPr="0071003D">
        <w:rPr>
          <w:rFonts w:ascii="Arial" w:hAnsi="Arial" w:cs="Arial"/>
          <w:noProof/>
          <w:sz w:val="24"/>
          <w:szCs w:val="24"/>
          <w:lang w:eastAsia="en-GB"/>
        </w:rPr>
        <w:tab/>
        <w:t>North Tyneside</w:t>
      </w:r>
    </w:p>
    <w:p w14:paraId="0D1306DB" w14:textId="77777777" w:rsidR="0071003D" w:rsidRPr="0071003D" w:rsidRDefault="0071003D" w:rsidP="0071003D">
      <w:pPr>
        <w:spacing w:after="0" w:line="240" w:lineRule="auto"/>
        <w:rPr>
          <w:rFonts w:ascii="Arial" w:hAnsi="Arial" w:cs="Arial"/>
          <w:noProof/>
          <w:sz w:val="24"/>
          <w:szCs w:val="24"/>
          <w:lang w:eastAsia="en-GB"/>
        </w:rPr>
      </w:pPr>
      <w:r w:rsidRPr="0071003D">
        <w:rPr>
          <w:rFonts w:ascii="Arial" w:hAnsi="Arial" w:cs="Arial"/>
          <w:noProof/>
          <w:sz w:val="24"/>
          <w:szCs w:val="24"/>
          <w:lang w:eastAsia="en-GB"/>
        </w:rPr>
        <w:t>•</w:t>
      </w:r>
      <w:r w:rsidRPr="0071003D">
        <w:rPr>
          <w:rFonts w:ascii="Arial" w:hAnsi="Arial" w:cs="Arial"/>
          <w:noProof/>
          <w:sz w:val="24"/>
          <w:szCs w:val="24"/>
          <w:lang w:eastAsia="en-GB"/>
        </w:rPr>
        <w:tab/>
        <w:t>Newcastle</w:t>
      </w:r>
    </w:p>
    <w:p w14:paraId="2DFAC3E5" w14:textId="77777777" w:rsidR="0071003D" w:rsidRPr="0071003D" w:rsidRDefault="0071003D" w:rsidP="0071003D">
      <w:pPr>
        <w:spacing w:after="0" w:line="240" w:lineRule="auto"/>
        <w:rPr>
          <w:rFonts w:ascii="Arial" w:hAnsi="Arial" w:cs="Arial"/>
          <w:noProof/>
          <w:sz w:val="24"/>
          <w:szCs w:val="24"/>
          <w:lang w:eastAsia="en-GB"/>
        </w:rPr>
      </w:pPr>
      <w:r w:rsidRPr="0071003D">
        <w:rPr>
          <w:rFonts w:ascii="Arial" w:hAnsi="Arial" w:cs="Arial"/>
          <w:noProof/>
          <w:sz w:val="24"/>
          <w:szCs w:val="24"/>
          <w:lang w:eastAsia="en-GB"/>
        </w:rPr>
        <w:t>•</w:t>
      </w:r>
      <w:r w:rsidRPr="0071003D">
        <w:rPr>
          <w:rFonts w:ascii="Arial" w:hAnsi="Arial" w:cs="Arial"/>
          <w:noProof/>
          <w:sz w:val="24"/>
          <w:szCs w:val="24"/>
          <w:lang w:eastAsia="en-GB"/>
        </w:rPr>
        <w:tab/>
        <w:t>Gateshead</w:t>
      </w:r>
    </w:p>
    <w:p w14:paraId="0839F4D9" w14:textId="77777777" w:rsidR="0071003D" w:rsidRPr="0071003D" w:rsidRDefault="0071003D" w:rsidP="0071003D">
      <w:pPr>
        <w:spacing w:after="0" w:line="240" w:lineRule="auto"/>
        <w:rPr>
          <w:rFonts w:ascii="Arial" w:hAnsi="Arial" w:cs="Arial"/>
          <w:noProof/>
          <w:sz w:val="24"/>
          <w:szCs w:val="24"/>
          <w:lang w:eastAsia="en-GB"/>
        </w:rPr>
      </w:pPr>
      <w:r w:rsidRPr="0071003D">
        <w:rPr>
          <w:rFonts w:ascii="Arial" w:hAnsi="Arial" w:cs="Arial"/>
          <w:noProof/>
          <w:sz w:val="24"/>
          <w:szCs w:val="24"/>
          <w:lang w:eastAsia="en-GB"/>
        </w:rPr>
        <w:t>•</w:t>
      </w:r>
      <w:r w:rsidRPr="0071003D">
        <w:rPr>
          <w:rFonts w:ascii="Arial" w:hAnsi="Arial" w:cs="Arial"/>
          <w:noProof/>
          <w:sz w:val="24"/>
          <w:szCs w:val="24"/>
          <w:lang w:eastAsia="en-GB"/>
        </w:rPr>
        <w:tab/>
        <w:t>South Tyneside</w:t>
      </w:r>
    </w:p>
    <w:p w14:paraId="3272D557" w14:textId="77777777" w:rsidR="0071003D" w:rsidRDefault="0071003D" w:rsidP="00E8405F">
      <w:pPr>
        <w:spacing w:after="0" w:line="240" w:lineRule="auto"/>
        <w:rPr>
          <w:rFonts w:ascii="Arial" w:hAnsi="Arial" w:cs="Arial"/>
          <w:noProof/>
          <w:sz w:val="24"/>
          <w:szCs w:val="24"/>
          <w:lang w:eastAsia="en-GB"/>
        </w:rPr>
      </w:pPr>
      <w:r w:rsidRPr="0071003D">
        <w:rPr>
          <w:rFonts w:ascii="Arial" w:hAnsi="Arial" w:cs="Arial"/>
          <w:noProof/>
          <w:sz w:val="24"/>
          <w:szCs w:val="24"/>
          <w:lang w:eastAsia="en-GB"/>
        </w:rPr>
        <w:t>•</w:t>
      </w:r>
      <w:r w:rsidRPr="0071003D">
        <w:rPr>
          <w:rFonts w:ascii="Arial" w:hAnsi="Arial" w:cs="Arial"/>
          <w:noProof/>
          <w:sz w:val="24"/>
          <w:szCs w:val="24"/>
          <w:lang w:eastAsia="en-GB"/>
        </w:rPr>
        <w:tab/>
        <w:t>Sunderland</w:t>
      </w:r>
    </w:p>
    <w:p w14:paraId="7A6F4065" w14:textId="77777777" w:rsidR="00E8405F" w:rsidRDefault="00E8405F" w:rsidP="00E8405F">
      <w:pPr>
        <w:spacing w:after="0" w:line="240" w:lineRule="auto"/>
        <w:rPr>
          <w:rFonts w:ascii="Arial" w:hAnsi="Arial" w:cs="Arial"/>
          <w:noProof/>
          <w:sz w:val="24"/>
          <w:szCs w:val="24"/>
          <w:lang w:eastAsia="en-GB"/>
        </w:rPr>
      </w:pPr>
    </w:p>
    <w:p w14:paraId="19066212" w14:textId="77777777" w:rsidR="0071003D" w:rsidRPr="0071003D" w:rsidRDefault="0071003D" w:rsidP="0071003D">
      <w:pPr>
        <w:rPr>
          <w:rFonts w:ascii="Arial" w:hAnsi="Arial" w:cs="Arial"/>
          <w:noProof/>
          <w:sz w:val="24"/>
          <w:szCs w:val="24"/>
          <w:lang w:eastAsia="en-GB"/>
        </w:rPr>
      </w:pPr>
      <w:r w:rsidRPr="0071003D">
        <w:rPr>
          <w:rFonts w:ascii="Arial" w:hAnsi="Arial" w:cs="Arial"/>
          <w:noProof/>
          <w:sz w:val="24"/>
          <w:szCs w:val="24"/>
          <w:lang w:eastAsia="en-GB"/>
        </w:rPr>
        <w:t xml:space="preserve">This CDOP, to be known as the </w:t>
      </w:r>
      <w:r w:rsidRPr="0071003D">
        <w:rPr>
          <w:rFonts w:ascii="Arial" w:hAnsi="Arial" w:cs="Arial"/>
          <w:b/>
          <w:i/>
          <w:noProof/>
          <w:sz w:val="24"/>
          <w:szCs w:val="24"/>
          <w:lang w:eastAsia="en-GB"/>
        </w:rPr>
        <w:t>North and South of Tyne CDOP,</w:t>
      </w:r>
      <w:r w:rsidRPr="0071003D">
        <w:rPr>
          <w:rFonts w:ascii="Arial" w:hAnsi="Arial" w:cs="Arial"/>
          <w:noProof/>
          <w:sz w:val="24"/>
          <w:szCs w:val="24"/>
          <w:lang w:eastAsia="en-GB"/>
        </w:rPr>
        <w:t xml:space="preserve">  (the CDOP) will typically review at least 60 deaths per year which will better enable thematic learning </w:t>
      </w:r>
      <w:r w:rsidRPr="0071003D">
        <w:rPr>
          <w:rFonts w:ascii="Arial" w:hAnsi="Arial" w:cs="Arial"/>
          <w:noProof/>
          <w:sz w:val="24"/>
          <w:szCs w:val="24"/>
          <w:lang w:eastAsia="en-GB"/>
        </w:rPr>
        <w:lastRenderedPageBreak/>
        <w:t xml:space="preserve">in order to identify potential safeguarding or local health issues that could be modified in order to protect children from harm and, ultimately, save lives. </w:t>
      </w:r>
    </w:p>
    <w:p w14:paraId="24ED1E4A" w14:textId="77777777" w:rsidR="0071003D" w:rsidRPr="0071003D" w:rsidRDefault="0071003D" w:rsidP="0071003D">
      <w:pPr>
        <w:rPr>
          <w:rFonts w:ascii="Arial" w:hAnsi="Arial" w:cs="Arial"/>
          <w:noProof/>
          <w:sz w:val="24"/>
          <w:szCs w:val="24"/>
          <w:lang w:eastAsia="en-GB"/>
        </w:rPr>
      </w:pPr>
      <w:r w:rsidRPr="0071003D">
        <w:rPr>
          <w:rFonts w:ascii="Arial" w:hAnsi="Arial" w:cs="Arial"/>
          <w:noProof/>
          <w:sz w:val="24"/>
          <w:szCs w:val="24"/>
          <w:lang w:eastAsia="en-GB"/>
        </w:rPr>
        <w:t xml:space="preserve">The CDOP will carry out its functions mindful of the potential impact upon the bereaved family and in accordance with the CDR Statutory Guidance.   The CDOP is the final assurance point once all multi-agency information has been collected, collated and analysed at a local level via the Child Death Review Meeting and professionals who have known the child and family, including the key worker.  </w:t>
      </w:r>
    </w:p>
    <w:p w14:paraId="37AFB6E1" w14:textId="77777777" w:rsidR="0071003D" w:rsidRDefault="0071003D">
      <w:pPr>
        <w:rPr>
          <w:rFonts w:ascii="Arial" w:hAnsi="Arial" w:cs="Arial"/>
          <w:noProof/>
          <w:sz w:val="24"/>
          <w:szCs w:val="24"/>
          <w:lang w:eastAsia="en-GB"/>
        </w:rPr>
      </w:pPr>
      <w:r>
        <w:rPr>
          <w:rFonts w:ascii="Arial" w:hAnsi="Arial" w:cs="Arial"/>
          <w:noProof/>
          <w:sz w:val="24"/>
          <w:szCs w:val="24"/>
          <w:lang w:eastAsia="en-GB"/>
        </w:rPr>
        <w:t xml:space="preserve">In preparation for the establishment of one CDOP the CCGs have commissioned eCDOP to support them in the collation of information and learning.  Preliminary use of this system has started and a process is in place to ensure that any cases not completed are uploaded </w:t>
      </w:r>
      <w:r w:rsidR="00400CBD">
        <w:rPr>
          <w:rFonts w:ascii="Arial" w:hAnsi="Arial" w:cs="Arial"/>
          <w:noProof/>
          <w:sz w:val="24"/>
          <w:szCs w:val="24"/>
          <w:lang w:eastAsia="en-GB"/>
        </w:rPr>
        <w:t>onto this system by January 2020.</w:t>
      </w:r>
      <w:r>
        <w:rPr>
          <w:rFonts w:ascii="Arial" w:hAnsi="Arial" w:cs="Arial"/>
          <w:noProof/>
          <w:sz w:val="24"/>
          <w:szCs w:val="24"/>
          <w:lang w:eastAsia="en-GB"/>
        </w:rPr>
        <w:t>.</w:t>
      </w:r>
    </w:p>
    <w:p w14:paraId="6B079FD7" w14:textId="77777777" w:rsidR="0071003D" w:rsidRDefault="0071003D">
      <w:pPr>
        <w:rPr>
          <w:rFonts w:ascii="Arial" w:hAnsi="Arial" w:cs="Arial"/>
          <w:noProof/>
          <w:sz w:val="24"/>
          <w:szCs w:val="24"/>
          <w:lang w:eastAsia="en-GB"/>
        </w:rPr>
      </w:pPr>
      <w:r>
        <w:rPr>
          <w:rFonts w:ascii="Arial" w:hAnsi="Arial" w:cs="Arial"/>
          <w:noProof/>
          <w:sz w:val="24"/>
          <w:szCs w:val="24"/>
          <w:lang w:eastAsia="en-GB"/>
        </w:rPr>
        <w:t xml:space="preserve">A working group has been established across the 6 LA areas.  It has developed a comprehensive </w:t>
      </w:r>
      <w:r w:rsidR="001B0D74">
        <w:rPr>
          <w:rFonts w:ascii="Arial" w:hAnsi="Arial" w:cs="Arial"/>
          <w:noProof/>
          <w:sz w:val="24"/>
          <w:szCs w:val="24"/>
          <w:lang w:eastAsia="en-GB"/>
        </w:rPr>
        <w:t>implementation plan which covers:</w:t>
      </w:r>
    </w:p>
    <w:p w14:paraId="1E8BED99" w14:textId="77777777" w:rsidR="001B0D74" w:rsidRPr="001B0D74" w:rsidRDefault="001B0D74" w:rsidP="001B0D74">
      <w:pPr>
        <w:pStyle w:val="ListParagraph"/>
        <w:numPr>
          <w:ilvl w:val="0"/>
          <w:numId w:val="3"/>
        </w:numPr>
        <w:spacing w:after="0" w:line="240" w:lineRule="auto"/>
        <w:rPr>
          <w:rFonts w:ascii="Arial" w:hAnsi="Arial" w:cs="Arial"/>
          <w:noProof/>
          <w:sz w:val="24"/>
          <w:szCs w:val="24"/>
          <w:lang w:eastAsia="en-GB"/>
        </w:rPr>
      </w:pPr>
      <w:r w:rsidRPr="001B0D74">
        <w:rPr>
          <w:rFonts w:ascii="Arial" w:hAnsi="Arial" w:cs="Arial"/>
          <w:noProof/>
          <w:sz w:val="24"/>
          <w:szCs w:val="24"/>
          <w:lang w:eastAsia="en-GB"/>
        </w:rPr>
        <w:t>Leadership</w:t>
      </w:r>
    </w:p>
    <w:p w14:paraId="7926CF09" w14:textId="77777777" w:rsidR="001B0D74" w:rsidRPr="001B0D74" w:rsidRDefault="001B0D74" w:rsidP="001B0D74">
      <w:pPr>
        <w:pStyle w:val="ListParagraph"/>
        <w:numPr>
          <w:ilvl w:val="0"/>
          <w:numId w:val="3"/>
        </w:numPr>
        <w:spacing w:after="0" w:line="240" w:lineRule="auto"/>
        <w:rPr>
          <w:rFonts w:ascii="Arial" w:hAnsi="Arial" w:cs="Arial"/>
          <w:noProof/>
          <w:sz w:val="24"/>
          <w:szCs w:val="24"/>
          <w:lang w:eastAsia="en-GB"/>
        </w:rPr>
      </w:pPr>
      <w:r w:rsidRPr="001B0D74">
        <w:rPr>
          <w:rFonts w:ascii="Arial" w:hAnsi="Arial" w:cs="Arial"/>
          <w:noProof/>
          <w:sz w:val="24"/>
          <w:szCs w:val="24"/>
          <w:lang w:eastAsia="en-GB"/>
        </w:rPr>
        <w:t>Organisational Alignment</w:t>
      </w:r>
    </w:p>
    <w:p w14:paraId="60E17EE8" w14:textId="77777777" w:rsidR="001B0D74" w:rsidRPr="001B0D74" w:rsidRDefault="001B0D74" w:rsidP="001B0D74">
      <w:pPr>
        <w:pStyle w:val="ListParagraph"/>
        <w:numPr>
          <w:ilvl w:val="0"/>
          <w:numId w:val="3"/>
        </w:numPr>
        <w:spacing w:after="0" w:line="240" w:lineRule="auto"/>
        <w:rPr>
          <w:rFonts w:ascii="Arial" w:hAnsi="Arial" w:cs="Arial"/>
          <w:noProof/>
          <w:sz w:val="24"/>
          <w:szCs w:val="24"/>
          <w:lang w:eastAsia="en-GB"/>
        </w:rPr>
      </w:pPr>
      <w:r w:rsidRPr="001B0D74">
        <w:rPr>
          <w:rFonts w:ascii="Arial" w:hAnsi="Arial" w:cs="Arial"/>
          <w:noProof/>
          <w:sz w:val="24"/>
          <w:szCs w:val="24"/>
          <w:lang w:eastAsia="en-GB"/>
        </w:rPr>
        <w:t>Learning</w:t>
      </w:r>
    </w:p>
    <w:p w14:paraId="45CE8730" w14:textId="77777777" w:rsidR="001B0D74" w:rsidRPr="001B0D74" w:rsidRDefault="001B0D74" w:rsidP="001B0D74">
      <w:pPr>
        <w:pStyle w:val="ListParagraph"/>
        <w:numPr>
          <w:ilvl w:val="0"/>
          <w:numId w:val="3"/>
        </w:numPr>
        <w:spacing w:after="0" w:line="240" w:lineRule="auto"/>
        <w:rPr>
          <w:rFonts w:ascii="Arial" w:hAnsi="Arial" w:cs="Arial"/>
          <w:noProof/>
          <w:sz w:val="24"/>
          <w:szCs w:val="24"/>
          <w:lang w:eastAsia="en-GB"/>
        </w:rPr>
      </w:pPr>
      <w:r w:rsidRPr="001B0D74">
        <w:rPr>
          <w:rFonts w:ascii="Arial" w:hAnsi="Arial" w:cs="Arial"/>
          <w:noProof/>
          <w:sz w:val="24"/>
          <w:szCs w:val="24"/>
          <w:lang w:eastAsia="en-GB"/>
        </w:rPr>
        <w:t>Performance and Quality Assurance Framework</w:t>
      </w:r>
    </w:p>
    <w:p w14:paraId="1F250E69" w14:textId="77777777" w:rsidR="001B0D74" w:rsidRPr="001B0D74" w:rsidRDefault="001B0D74" w:rsidP="001B0D74">
      <w:pPr>
        <w:pStyle w:val="ListParagraph"/>
        <w:numPr>
          <w:ilvl w:val="0"/>
          <w:numId w:val="3"/>
        </w:numPr>
        <w:spacing w:after="0" w:line="240" w:lineRule="auto"/>
        <w:rPr>
          <w:rFonts w:ascii="Arial" w:hAnsi="Arial" w:cs="Arial"/>
          <w:noProof/>
          <w:sz w:val="24"/>
          <w:szCs w:val="24"/>
          <w:lang w:eastAsia="en-GB"/>
        </w:rPr>
      </w:pPr>
      <w:r w:rsidRPr="001B0D74">
        <w:rPr>
          <w:rFonts w:ascii="Arial" w:hAnsi="Arial" w:cs="Arial"/>
          <w:noProof/>
          <w:sz w:val="24"/>
          <w:szCs w:val="24"/>
          <w:lang w:eastAsia="en-GB"/>
        </w:rPr>
        <w:t>Communication</w:t>
      </w:r>
    </w:p>
    <w:p w14:paraId="6BA6A10B" w14:textId="77777777" w:rsidR="001B0D74" w:rsidRPr="001B0D74" w:rsidRDefault="001B0D74" w:rsidP="001B0D74">
      <w:pPr>
        <w:pStyle w:val="ListParagraph"/>
        <w:numPr>
          <w:ilvl w:val="0"/>
          <w:numId w:val="3"/>
        </w:numPr>
        <w:spacing w:after="0" w:line="240" w:lineRule="auto"/>
        <w:rPr>
          <w:rFonts w:ascii="Arial" w:hAnsi="Arial" w:cs="Arial"/>
          <w:noProof/>
          <w:sz w:val="24"/>
          <w:szCs w:val="24"/>
          <w:lang w:eastAsia="en-GB"/>
        </w:rPr>
      </w:pPr>
      <w:r w:rsidRPr="001B0D74">
        <w:rPr>
          <w:rFonts w:ascii="Arial" w:hAnsi="Arial" w:cs="Arial"/>
          <w:noProof/>
          <w:sz w:val="24"/>
          <w:szCs w:val="24"/>
          <w:lang w:eastAsia="en-GB"/>
        </w:rPr>
        <w:t>Review/Evaluation of Arrangements</w:t>
      </w:r>
    </w:p>
    <w:p w14:paraId="727D0719" w14:textId="77777777" w:rsidR="001B0D74" w:rsidRPr="001B0D74" w:rsidRDefault="001B0D74" w:rsidP="001B0D74">
      <w:pPr>
        <w:pStyle w:val="ListParagraph"/>
        <w:numPr>
          <w:ilvl w:val="0"/>
          <w:numId w:val="3"/>
        </w:numPr>
        <w:spacing w:after="0" w:line="240" w:lineRule="auto"/>
        <w:rPr>
          <w:rFonts w:ascii="Arial" w:hAnsi="Arial" w:cs="Arial"/>
          <w:noProof/>
          <w:sz w:val="24"/>
          <w:szCs w:val="24"/>
          <w:lang w:eastAsia="en-GB"/>
        </w:rPr>
      </w:pPr>
      <w:r w:rsidRPr="001B0D74">
        <w:rPr>
          <w:rFonts w:ascii="Arial" w:hAnsi="Arial" w:cs="Arial"/>
          <w:noProof/>
          <w:sz w:val="24"/>
          <w:szCs w:val="24"/>
          <w:lang w:eastAsia="en-GB"/>
        </w:rPr>
        <w:t>Voice of the parent/family/carer</w:t>
      </w:r>
    </w:p>
    <w:p w14:paraId="41863DB2" w14:textId="77777777" w:rsidR="001B0D74" w:rsidRDefault="001B0D74">
      <w:pPr>
        <w:rPr>
          <w:rFonts w:ascii="Arial" w:hAnsi="Arial" w:cs="Arial"/>
          <w:noProof/>
          <w:sz w:val="24"/>
          <w:szCs w:val="24"/>
          <w:lang w:eastAsia="en-GB"/>
        </w:rPr>
      </w:pPr>
    </w:p>
    <w:p w14:paraId="55F9B9FE" w14:textId="77777777" w:rsidR="001B0D74" w:rsidRDefault="001B0D74">
      <w:pPr>
        <w:rPr>
          <w:rFonts w:ascii="Arial" w:hAnsi="Arial" w:cs="Arial"/>
          <w:noProof/>
          <w:sz w:val="24"/>
          <w:szCs w:val="24"/>
          <w:lang w:eastAsia="en-GB"/>
        </w:rPr>
      </w:pPr>
      <w:r>
        <w:rPr>
          <w:rFonts w:ascii="Arial" w:hAnsi="Arial" w:cs="Arial"/>
          <w:noProof/>
          <w:sz w:val="24"/>
          <w:szCs w:val="24"/>
          <w:lang w:eastAsia="en-GB"/>
        </w:rPr>
        <w:t>The group has ensured that both CDOPs are working consistently in preparation for their first joint panel in early 2020.</w:t>
      </w:r>
    </w:p>
    <w:p w14:paraId="6861276D" w14:textId="77777777" w:rsidR="00E8405F" w:rsidRDefault="00E8405F">
      <w:pPr>
        <w:rPr>
          <w:rFonts w:ascii="Arial" w:hAnsi="Arial" w:cs="Arial"/>
          <w:noProof/>
          <w:sz w:val="24"/>
          <w:szCs w:val="24"/>
          <w:lang w:eastAsia="en-GB"/>
        </w:rPr>
      </w:pPr>
      <w:r>
        <w:rPr>
          <w:rFonts w:ascii="Arial" w:hAnsi="Arial" w:cs="Arial"/>
          <w:noProof/>
          <w:sz w:val="24"/>
          <w:szCs w:val="24"/>
          <w:lang w:eastAsia="en-GB"/>
        </w:rPr>
        <w:t>The progress of the implementation plan is being monitored by the statutory partners via the Local Safeguarding Children Partnerships and the Tyne, Wear and Northumberland Safeguarding Partnership.</w:t>
      </w:r>
    </w:p>
    <w:p w14:paraId="72327ED9" w14:textId="29988536" w:rsidR="001B0D74" w:rsidRDefault="001B0D74">
      <w:pPr>
        <w:rPr>
          <w:rFonts w:ascii="Arial" w:hAnsi="Arial" w:cs="Arial"/>
          <w:sz w:val="24"/>
          <w:szCs w:val="24"/>
        </w:rPr>
      </w:pPr>
      <w:bookmarkStart w:id="0" w:name="_GoBack"/>
      <w:bookmarkEnd w:id="0"/>
    </w:p>
    <w:sectPr w:rsidR="001B0D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CB6D0" w14:textId="77777777" w:rsidR="00024125" w:rsidRDefault="00024125" w:rsidP="0071003D">
      <w:pPr>
        <w:spacing w:after="0" w:line="240" w:lineRule="auto"/>
      </w:pPr>
      <w:r>
        <w:separator/>
      </w:r>
    </w:p>
  </w:endnote>
  <w:endnote w:type="continuationSeparator" w:id="0">
    <w:p w14:paraId="7583EEAA" w14:textId="77777777" w:rsidR="00024125" w:rsidRDefault="00024125" w:rsidP="0071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C1178" w14:textId="77777777" w:rsidR="00024125" w:rsidRDefault="00024125" w:rsidP="0071003D">
      <w:pPr>
        <w:spacing w:after="0" w:line="240" w:lineRule="auto"/>
      </w:pPr>
      <w:r>
        <w:separator/>
      </w:r>
    </w:p>
  </w:footnote>
  <w:footnote w:type="continuationSeparator" w:id="0">
    <w:p w14:paraId="21D0881F" w14:textId="77777777" w:rsidR="00024125" w:rsidRDefault="00024125" w:rsidP="0071003D">
      <w:pPr>
        <w:spacing w:after="0" w:line="240" w:lineRule="auto"/>
      </w:pPr>
      <w:r>
        <w:continuationSeparator/>
      </w:r>
    </w:p>
  </w:footnote>
  <w:footnote w:id="1">
    <w:p w14:paraId="1AA76F19" w14:textId="77777777" w:rsidR="0071003D" w:rsidRPr="00BB2C50" w:rsidRDefault="0071003D" w:rsidP="0071003D">
      <w:pPr>
        <w:pStyle w:val="FootnoteText"/>
      </w:pPr>
      <w:r w:rsidRPr="00BB2C50">
        <w:rPr>
          <w:rStyle w:val="FootnoteReference"/>
        </w:rPr>
        <w:footnoteRef/>
      </w:r>
      <w:r w:rsidRPr="00BB2C50">
        <w:t xml:space="preserve"> </w:t>
      </w:r>
      <w:hyperlink r:id="rId1" w:history="1">
        <w:r w:rsidRPr="00BB2C50">
          <w:rPr>
            <w:color w:val="0000FF"/>
            <w:u w:val="single"/>
          </w:rPr>
          <w:t>CA 2004</w:t>
        </w:r>
      </w:hyperlink>
    </w:p>
  </w:footnote>
  <w:footnote w:id="2">
    <w:p w14:paraId="245DCACE" w14:textId="77777777" w:rsidR="0071003D" w:rsidRPr="00BB2C50" w:rsidRDefault="0071003D" w:rsidP="0071003D">
      <w:pPr>
        <w:pStyle w:val="FootnoteText"/>
      </w:pPr>
      <w:r w:rsidRPr="00BB2C50">
        <w:rPr>
          <w:rStyle w:val="FootnoteReference"/>
        </w:rPr>
        <w:footnoteRef/>
      </w:r>
      <w:r w:rsidRPr="00BB2C50">
        <w:t xml:space="preserve"> </w:t>
      </w:r>
      <w:hyperlink r:id="rId2" w:history="1">
        <w:r w:rsidRPr="00BB2C50">
          <w:rPr>
            <w:color w:val="0000FF"/>
            <w:u w:val="single"/>
          </w:rPr>
          <w:t>Children &amp; SW Act 2017</w:t>
        </w:r>
      </w:hyperlink>
    </w:p>
  </w:footnote>
  <w:footnote w:id="3">
    <w:p w14:paraId="3D3A0792" w14:textId="77777777" w:rsidR="0071003D" w:rsidRDefault="0071003D" w:rsidP="0071003D">
      <w:pPr>
        <w:pStyle w:val="FootnoteText"/>
      </w:pPr>
      <w:r w:rsidRPr="00BB2C50">
        <w:rPr>
          <w:rStyle w:val="FootnoteReference"/>
        </w:rPr>
        <w:footnoteRef/>
      </w:r>
      <w:r w:rsidRPr="00BB2C50">
        <w:t xml:space="preserve"> </w:t>
      </w:r>
      <w:hyperlink r:id="rId3" w:history="1">
        <w:r w:rsidRPr="00BB2C50">
          <w:rPr>
            <w:color w:val="0000FF"/>
            <w:u w:val="single"/>
          </w:rPr>
          <w:t>CDR Statutory &amp; Operational Guidance 2018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13008"/>
    <w:multiLevelType w:val="multilevel"/>
    <w:tmpl w:val="CA5E1564"/>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83169D"/>
    <w:multiLevelType w:val="multilevel"/>
    <w:tmpl w:val="6B5643D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AAF1001"/>
    <w:multiLevelType w:val="hybridMultilevel"/>
    <w:tmpl w:val="76F2BDB0"/>
    <w:lvl w:ilvl="0" w:tplc="5C744D14">
      <w:numFmt w:val="bullet"/>
      <w:lvlText w:val="-"/>
      <w:lvlJc w:val="left"/>
      <w:pPr>
        <w:ind w:left="720" w:hanging="360"/>
      </w:pPr>
      <w:rPr>
        <w:rFonts w:ascii="Calibri" w:eastAsia="Times New Roman" w:hAnsi="Calibri" w:cs="Calibri" w:hint="default"/>
        <w:sz w:val="4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3D"/>
    <w:rsid w:val="00024125"/>
    <w:rsid w:val="001B0D74"/>
    <w:rsid w:val="002F1B76"/>
    <w:rsid w:val="003C7847"/>
    <w:rsid w:val="00400CBD"/>
    <w:rsid w:val="00647B68"/>
    <w:rsid w:val="0071003D"/>
    <w:rsid w:val="00E8405F"/>
    <w:rsid w:val="00EA5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056D"/>
  <w15:docId w15:val="{FA25479A-837A-4021-8718-FFF0A419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3D"/>
    <w:rPr>
      <w:rFonts w:ascii="Tahoma" w:hAnsi="Tahoma" w:cs="Tahoma"/>
      <w:sz w:val="16"/>
      <w:szCs w:val="16"/>
    </w:rPr>
  </w:style>
  <w:style w:type="paragraph" w:styleId="FootnoteText">
    <w:name w:val="footnote text"/>
    <w:basedOn w:val="Normal"/>
    <w:link w:val="FootnoteTextChar"/>
    <w:uiPriority w:val="99"/>
    <w:semiHidden/>
    <w:unhideWhenUsed/>
    <w:rsid w:val="007100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03D"/>
    <w:rPr>
      <w:sz w:val="20"/>
      <w:szCs w:val="20"/>
    </w:rPr>
  </w:style>
  <w:style w:type="character" w:styleId="FootnoteReference">
    <w:name w:val="footnote reference"/>
    <w:semiHidden/>
    <w:rsid w:val="0071003D"/>
    <w:rPr>
      <w:vertAlign w:val="superscript"/>
    </w:rPr>
  </w:style>
  <w:style w:type="paragraph" w:styleId="Header">
    <w:name w:val="header"/>
    <w:basedOn w:val="Normal"/>
    <w:link w:val="HeaderChar"/>
    <w:uiPriority w:val="99"/>
    <w:unhideWhenUsed/>
    <w:rsid w:val="00710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03D"/>
  </w:style>
  <w:style w:type="paragraph" w:styleId="Footer">
    <w:name w:val="footer"/>
    <w:basedOn w:val="Normal"/>
    <w:link w:val="FooterChar"/>
    <w:uiPriority w:val="99"/>
    <w:unhideWhenUsed/>
    <w:rsid w:val="00710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03D"/>
  </w:style>
  <w:style w:type="paragraph" w:styleId="ListParagraph">
    <w:name w:val="List Paragraph"/>
    <w:basedOn w:val="Normal"/>
    <w:uiPriority w:val="34"/>
    <w:qFormat/>
    <w:rsid w:val="001B0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777955/Child_death_review_statutory_and_operational_guid" TargetMode="External"/><Relationship Id="rId2" Type="http://schemas.openxmlformats.org/officeDocument/2006/relationships/hyperlink" Target="http://www.legislation.gov.uk/ukpga/2017/16/contents/enacted" TargetMode="External"/><Relationship Id="rId1" Type="http://schemas.openxmlformats.org/officeDocument/2006/relationships/hyperlink" Target="https://www.legislation.gov.uk/ukpga/2004/31/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Lagun Deanna</dc:creator>
  <cp:lastModifiedBy>Kirkley, Susan</cp:lastModifiedBy>
  <cp:revision>3</cp:revision>
  <dcterms:created xsi:type="dcterms:W3CDTF">2020-04-30T11:24:00Z</dcterms:created>
  <dcterms:modified xsi:type="dcterms:W3CDTF">2020-04-30T11:26:00Z</dcterms:modified>
</cp:coreProperties>
</file>