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271BB" w14:textId="77777777" w:rsidR="00A10B57" w:rsidRPr="00A10B57" w:rsidRDefault="00A10B57" w:rsidP="00A10B57">
      <w:pPr>
        <w:rPr>
          <w:rFonts w:ascii="Arial Rounded MT Bold" w:eastAsia="Times New Roman" w:hAnsi="Arial Rounded MT Bold" w:cs="Poppins"/>
          <w:sz w:val="28"/>
          <w:szCs w:val="28"/>
        </w:rPr>
      </w:pPr>
      <w:r w:rsidRPr="00A10B57">
        <w:rPr>
          <w:rFonts w:ascii="Arial Rounded MT Bold" w:eastAsia="Times New Roman" w:hAnsi="Arial Rounded MT Bold" w:cs="Poppins"/>
          <w:sz w:val="28"/>
          <w:szCs w:val="28"/>
        </w:rPr>
        <w:t>Aide Memoir: Ensuring Merton Compliance in Social Work Assessments</w:t>
      </w:r>
    </w:p>
    <w:p w14:paraId="23847F39" w14:textId="77777777" w:rsidR="00A10B57" w:rsidRDefault="00A10B57" w:rsidP="00A10B57">
      <w:pPr>
        <w:rPr>
          <w:rFonts w:ascii="Poppins" w:eastAsia="Times New Roman" w:hAnsi="Poppins" w:cs="Poppins"/>
        </w:rPr>
      </w:pPr>
    </w:p>
    <w:p w14:paraId="31149E04" w14:textId="4E8A1CED" w:rsidR="00A10B57" w:rsidRPr="00A10B57" w:rsidRDefault="00A10B57" w:rsidP="00A10B57">
      <w:pPr>
        <w:rPr>
          <w:rFonts w:ascii="Poppins" w:eastAsia="Times New Roman" w:hAnsi="Poppins" w:cs="Poppins"/>
          <w:b/>
          <w:bCs/>
        </w:rPr>
      </w:pPr>
      <w:r w:rsidRPr="00A10B57">
        <w:rPr>
          <w:rFonts w:ascii="Poppins" w:eastAsia="Times New Roman" w:hAnsi="Poppins" w:cs="Poppins"/>
          <w:b/>
          <w:bCs/>
        </w:rPr>
        <w:t>Understanding Merton Compliance:</w:t>
      </w:r>
    </w:p>
    <w:p w14:paraId="7EFED22C" w14:textId="30EDA1B2" w:rsidR="00A10B57" w:rsidRDefault="00A10B57" w:rsidP="00A10B57">
      <w:pPr>
        <w:rPr>
          <w:rFonts w:ascii="Poppins" w:eastAsia="Times New Roman" w:hAnsi="Poppins" w:cs="Poppins"/>
        </w:rPr>
      </w:pPr>
      <w:r>
        <w:rPr>
          <w:rFonts w:ascii="Poppins" w:eastAsia="Times New Roman" w:hAnsi="Poppins" w:cs="Poppins"/>
        </w:rPr>
        <w:t>Merton compliance refers to the principles and standards set out in the case law of R (M) v London Borough of Merton [2003] EWCA Civ 1232.</w:t>
      </w:r>
    </w:p>
    <w:p w14:paraId="10D1D035" w14:textId="50BED2CD" w:rsidR="00A10B57" w:rsidRDefault="00A10B57" w:rsidP="00A10B57">
      <w:pPr>
        <w:rPr>
          <w:rFonts w:ascii="Poppins" w:eastAsia="Times New Roman" w:hAnsi="Poppins" w:cs="Poppins"/>
        </w:rPr>
      </w:pPr>
      <w:r>
        <w:rPr>
          <w:rFonts w:ascii="Poppins" w:eastAsia="Times New Roman" w:hAnsi="Poppins" w:cs="Poppins"/>
        </w:rPr>
        <w:t>The term "Merton compliance" originates from the legal case where the Court of Appeal outlined the requirements for fair and lawful decision-making processes in social work assessments.</w:t>
      </w:r>
    </w:p>
    <w:p w14:paraId="5C2D3C39" w14:textId="77777777" w:rsidR="00A10B57" w:rsidRDefault="00A10B57" w:rsidP="00A10B57">
      <w:pPr>
        <w:rPr>
          <w:rFonts w:ascii="Poppins" w:eastAsia="Times New Roman" w:hAnsi="Poppins" w:cs="Poppins"/>
        </w:rPr>
      </w:pPr>
    </w:p>
    <w:p w14:paraId="4E6C2EAC" w14:textId="2CB6A04B" w:rsidR="00A10B57" w:rsidRDefault="00A10B57" w:rsidP="00A10B57">
      <w:pPr>
        <w:rPr>
          <w:rFonts w:ascii="Poppins" w:eastAsia="Times New Roman" w:hAnsi="Poppins" w:cs="Poppins"/>
          <w:b/>
          <w:bCs/>
        </w:rPr>
      </w:pPr>
      <w:r w:rsidRPr="00A10B57">
        <w:rPr>
          <w:rFonts w:ascii="Poppins" w:eastAsia="Times New Roman" w:hAnsi="Poppins" w:cs="Poppins"/>
          <w:b/>
          <w:bCs/>
        </w:rPr>
        <w:t>Key Principles of Merton Compliance:</w:t>
      </w:r>
    </w:p>
    <w:p w14:paraId="40429BA7" w14:textId="77777777" w:rsidR="00A10B57" w:rsidRPr="00A10B57" w:rsidRDefault="00A10B57" w:rsidP="00A10B57">
      <w:pPr>
        <w:rPr>
          <w:rFonts w:ascii="Poppins" w:eastAsia="Times New Roman" w:hAnsi="Poppins" w:cs="Poppins"/>
          <w:b/>
          <w:bCs/>
        </w:rPr>
      </w:pPr>
    </w:p>
    <w:p w14:paraId="27475FC4" w14:textId="66E015F2" w:rsidR="00A10B57" w:rsidRDefault="00A10B57" w:rsidP="00A10B57">
      <w:pPr>
        <w:rPr>
          <w:rFonts w:ascii="Poppins" w:eastAsia="Times New Roman" w:hAnsi="Poppins" w:cs="Poppins"/>
        </w:rPr>
      </w:pPr>
      <w:r w:rsidRPr="00A10B57">
        <w:rPr>
          <w:rFonts w:ascii="Poppins" w:eastAsia="Times New Roman" w:hAnsi="Poppins" w:cs="Poppins"/>
          <w:b/>
          <w:bCs/>
        </w:rPr>
        <w:t>Transparency:</w:t>
      </w:r>
      <w:r>
        <w:rPr>
          <w:rFonts w:ascii="Poppins" w:eastAsia="Times New Roman" w:hAnsi="Poppins" w:cs="Poppins"/>
        </w:rPr>
        <w:t xml:space="preserve"> Ensure transparency and openness in the assessment process, providing clear information to the individual being assessed.</w:t>
      </w:r>
    </w:p>
    <w:p w14:paraId="7831AF87" w14:textId="2C94A0AB" w:rsidR="00A10B57" w:rsidRDefault="00A10B57" w:rsidP="00A10B57">
      <w:pPr>
        <w:rPr>
          <w:rFonts w:ascii="Poppins" w:eastAsia="Times New Roman" w:hAnsi="Poppins" w:cs="Poppins"/>
        </w:rPr>
      </w:pPr>
      <w:r w:rsidRPr="00A10B57">
        <w:rPr>
          <w:rFonts w:ascii="Poppins" w:eastAsia="Times New Roman" w:hAnsi="Poppins" w:cs="Poppins"/>
          <w:b/>
          <w:bCs/>
        </w:rPr>
        <w:t>Fairness:</w:t>
      </w:r>
      <w:r>
        <w:rPr>
          <w:rFonts w:ascii="Poppins" w:eastAsia="Times New Roman" w:hAnsi="Poppins" w:cs="Poppins"/>
        </w:rPr>
        <w:t xml:space="preserve"> Conduct assessments in a fair and impartial manner, considering all relevant evidence and perspectives.</w:t>
      </w:r>
    </w:p>
    <w:p w14:paraId="2527B944" w14:textId="448F569B" w:rsidR="00A10B57" w:rsidRDefault="00A10B57" w:rsidP="00A10B57">
      <w:pPr>
        <w:rPr>
          <w:rFonts w:ascii="Poppins" w:eastAsia="Times New Roman" w:hAnsi="Poppins" w:cs="Poppins"/>
        </w:rPr>
      </w:pPr>
      <w:r w:rsidRPr="00A10B57">
        <w:rPr>
          <w:rFonts w:ascii="Poppins" w:eastAsia="Times New Roman" w:hAnsi="Poppins" w:cs="Poppins"/>
          <w:b/>
          <w:bCs/>
        </w:rPr>
        <w:t>Respect for Rights:</w:t>
      </w:r>
      <w:r>
        <w:rPr>
          <w:rFonts w:ascii="Poppins" w:eastAsia="Times New Roman" w:hAnsi="Poppins" w:cs="Poppins"/>
        </w:rPr>
        <w:t xml:space="preserve"> Uphold the dignity, privacy, and human rights of the individual throughout the assessment process.</w:t>
      </w:r>
    </w:p>
    <w:p w14:paraId="7FFB3CD7" w14:textId="231FEE20" w:rsidR="00A10B57" w:rsidRDefault="00A10B57" w:rsidP="00A10B57">
      <w:pPr>
        <w:rPr>
          <w:rFonts w:ascii="Poppins" w:eastAsia="Times New Roman" w:hAnsi="Poppins" w:cs="Poppins"/>
        </w:rPr>
      </w:pPr>
      <w:r w:rsidRPr="00A10B57">
        <w:rPr>
          <w:rFonts w:ascii="Poppins" w:eastAsia="Times New Roman" w:hAnsi="Poppins" w:cs="Poppins"/>
          <w:b/>
          <w:bCs/>
        </w:rPr>
        <w:t>Best Interests:</w:t>
      </w:r>
      <w:r>
        <w:rPr>
          <w:rFonts w:ascii="Poppins" w:eastAsia="Times New Roman" w:hAnsi="Poppins" w:cs="Poppins"/>
        </w:rPr>
        <w:t xml:space="preserve"> Prioritize the best interests of the individual, particularly in cases involving vulnerable groups such as unaccompanied asylum-seeking children.</w:t>
      </w:r>
    </w:p>
    <w:p w14:paraId="645A0DD2" w14:textId="77777777" w:rsidR="00A10B57" w:rsidRDefault="00A10B57" w:rsidP="00A10B57">
      <w:pPr>
        <w:rPr>
          <w:rFonts w:ascii="Poppins" w:eastAsia="Times New Roman" w:hAnsi="Poppins" w:cs="Poppins"/>
        </w:rPr>
      </w:pPr>
    </w:p>
    <w:p w14:paraId="6DD12C18" w14:textId="7CF02AAB" w:rsidR="00A10B57" w:rsidRDefault="00A10B57" w:rsidP="00A10B57">
      <w:pPr>
        <w:rPr>
          <w:rFonts w:ascii="Poppins" w:eastAsia="Times New Roman" w:hAnsi="Poppins" w:cs="Poppins"/>
          <w:b/>
          <w:bCs/>
        </w:rPr>
      </w:pPr>
      <w:r w:rsidRPr="00A10B57">
        <w:rPr>
          <w:rFonts w:ascii="Poppins" w:eastAsia="Times New Roman" w:hAnsi="Poppins" w:cs="Poppins"/>
          <w:b/>
          <w:bCs/>
        </w:rPr>
        <w:t>Application of Merton Compliance in Practice:</w:t>
      </w:r>
    </w:p>
    <w:p w14:paraId="5C8443E8" w14:textId="77777777" w:rsidR="00A10B57" w:rsidRPr="00A10B57" w:rsidRDefault="00A10B57" w:rsidP="00A10B57">
      <w:pPr>
        <w:rPr>
          <w:rFonts w:ascii="Poppins" w:eastAsia="Times New Roman" w:hAnsi="Poppins" w:cs="Poppins"/>
          <w:b/>
          <w:bCs/>
        </w:rPr>
      </w:pPr>
    </w:p>
    <w:p w14:paraId="0C9589C3" w14:textId="4512F554" w:rsidR="00A10B57" w:rsidRDefault="00A10B57" w:rsidP="00A10B57">
      <w:pPr>
        <w:rPr>
          <w:rFonts w:ascii="Poppins" w:eastAsia="Times New Roman" w:hAnsi="Poppins" w:cs="Poppins"/>
        </w:rPr>
      </w:pPr>
      <w:r w:rsidRPr="00A10B57">
        <w:rPr>
          <w:rFonts w:ascii="Poppins" w:eastAsia="Times New Roman" w:hAnsi="Poppins" w:cs="Poppins"/>
          <w:b/>
          <w:bCs/>
        </w:rPr>
        <w:t>Age Assessments of Unaccompanied Asylum-Seeking Children:</w:t>
      </w:r>
      <w:r>
        <w:rPr>
          <w:rFonts w:ascii="Poppins" w:eastAsia="Times New Roman" w:hAnsi="Poppins" w:cs="Poppins"/>
        </w:rPr>
        <w:t xml:space="preserve"> Social workers must adhere to Merton compliance principles when conducting age assessments of unaccompanied asylum-seeking children.</w:t>
      </w:r>
    </w:p>
    <w:p w14:paraId="5FD2A6D3" w14:textId="54F602DA" w:rsidR="00A10B57" w:rsidRDefault="00A10B57" w:rsidP="00A10B57">
      <w:pPr>
        <w:rPr>
          <w:rFonts w:ascii="Poppins" w:eastAsia="Times New Roman" w:hAnsi="Poppins" w:cs="Poppins"/>
        </w:rPr>
      </w:pPr>
      <w:r w:rsidRPr="00A10B57">
        <w:rPr>
          <w:rFonts w:ascii="Poppins" w:eastAsia="Times New Roman" w:hAnsi="Poppins" w:cs="Poppins"/>
          <w:b/>
          <w:bCs/>
        </w:rPr>
        <w:t>Multidisciplinary Approach:</w:t>
      </w:r>
      <w:r>
        <w:rPr>
          <w:rFonts w:ascii="Poppins" w:eastAsia="Times New Roman" w:hAnsi="Poppins" w:cs="Poppins"/>
        </w:rPr>
        <w:t xml:space="preserve"> Involve a multidisciplinary team in the age assessment process, including healthcare professionals, psychologists, and legal experts.</w:t>
      </w:r>
    </w:p>
    <w:p w14:paraId="2F56D434" w14:textId="11B74E42" w:rsidR="00A10B57" w:rsidRDefault="00A10B57" w:rsidP="00A10B57">
      <w:pPr>
        <w:rPr>
          <w:rFonts w:ascii="Poppins" w:eastAsia="Times New Roman" w:hAnsi="Poppins" w:cs="Poppins"/>
        </w:rPr>
      </w:pPr>
      <w:r w:rsidRPr="00A10B57">
        <w:rPr>
          <w:rFonts w:ascii="Poppins" w:eastAsia="Times New Roman" w:hAnsi="Poppins" w:cs="Poppins"/>
          <w:b/>
          <w:bCs/>
        </w:rPr>
        <w:t>Child-Centred Approach:</w:t>
      </w:r>
      <w:r>
        <w:rPr>
          <w:rFonts w:ascii="Poppins" w:eastAsia="Times New Roman" w:hAnsi="Poppins" w:cs="Poppins"/>
        </w:rPr>
        <w:t xml:space="preserve"> Prioritize the best interests of the child, considering their physical, psychological, and social development in determining their age.</w:t>
      </w:r>
    </w:p>
    <w:p w14:paraId="3117A9C8" w14:textId="401C2053" w:rsidR="00A10B57" w:rsidRDefault="00A10B57" w:rsidP="00A10B57">
      <w:pPr>
        <w:rPr>
          <w:rFonts w:ascii="Poppins" w:eastAsia="Times New Roman" w:hAnsi="Poppins" w:cs="Poppins"/>
        </w:rPr>
      </w:pPr>
      <w:r w:rsidRPr="00A10B57">
        <w:rPr>
          <w:rFonts w:ascii="Poppins" w:eastAsia="Times New Roman" w:hAnsi="Poppins" w:cs="Poppins"/>
          <w:b/>
          <w:bCs/>
        </w:rPr>
        <w:t>Procedural Safeguards:</w:t>
      </w:r>
      <w:r>
        <w:rPr>
          <w:rFonts w:ascii="Poppins" w:eastAsia="Times New Roman" w:hAnsi="Poppins" w:cs="Poppins"/>
        </w:rPr>
        <w:t xml:space="preserve"> Provide clear and accessible information to the child about the assessment process, their rights, and available support services.</w:t>
      </w:r>
    </w:p>
    <w:p w14:paraId="73D91DCB" w14:textId="2E21449E" w:rsidR="00A10B57" w:rsidRDefault="00A10B57" w:rsidP="00A10B57">
      <w:pPr>
        <w:rPr>
          <w:rFonts w:ascii="Poppins" w:eastAsia="Times New Roman" w:hAnsi="Poppins" w:cs="Poppins"/>
        </w:rPr>
      </w:pPr>
      <w:r w:rsidRPr="00A10B57">
        <w:rPr>
          <w:rFonts w:ascii="Poppins" w:eastAsia="Times New Roman" w:hAnsi="Poppins" w:cs="Poppins"/>
          <w:b/>
          <w:bCs/>
        </w:rPr>
        <w:t>Documentation and Record-Keeping:</w:t>
      </w:r>
      <w:r>
        <w:rPr>
          <w:rFonts w:ascii="Poppins" w:eastAsia="Times New Roman" w:hAnsi="Poppins" w:cs="Poppins"/>
        </w:rPr>
        <w:t xml:space="preserve"> Maintain detailed records of the assessment process, including sources of information, interviews conducted, and decisions made.</w:t>
      </w:r>
    </w:p>
    <w:p w14:paraId="6B58E12A" w14:textId="6707E135" w:rsidR="00A10B57" w:rsidRDefault="00A10B57" w:rsidP="00A10B57">
      <w:pPr>
        <w:rPr>
          <w:rFonts w:ascii="Poppins" w:eastAsia="Times New Roman" w:hAnsi="Poppins" w:cs="Poppins"/>
        </w:rPr>
      </w:pPr>
      <w:r w:rsidRPr="00A10B57">
        <w:rPr>
          <w:rFonts w:ascii="Poppins" w:eastAsia="Times New Roman" w:hAnsi="Poppins" w:cs="Poppins"/>
          <w:b/>
          <w:bCs/>
        </w:rPr>
        <w:t>Review and Appeal Mechanisms:</w:t>
      </w:r>
      <w:r>
        <w:rPr>
          <w:rFonts w:ascii="Poppins" w:eastAsia="Times New Roman" w:hAnsi="Poppins" w:cs="Poppins"/>
        </w:rPr>
        <w:t xml:space="preserve"> Ensure that the child has the opportunity to challenge the assessment outcome through a transparent and accessible review process.</w:t>
      </w:r>
    </w:p>
    <w:p w14:paraId="4BC3022A" w14:textId="77777777" w:rsidR="00A10B57" w:rsidRDefault="00A10B57" w:rsidP="00A10B57">
      <w:pPr>
        <w:rPr>
          <w:rFonts w:ascii="Poppins" w:eastAsia="Times New Roman" w:hAnsi="Poppins" w:cs="Poppins"/>
        </w:rPr>
      </w:pPr>
    </w:p>
    <w:p w14:paraId="22AFD179" w14:textId="77777777" w:rsidR="00A10B57" w:rsidRDefault="00A10B57" w:rsidP="00A10B57">
      <w:pPr>
        <w:rPr>
          <w:rFonts w:ascii="Poppins" w:eastAsia="Times New Roman" w:hAnsi="Poppins" w:cs="Poppins"/>
        </w:rPr>
      </w:pPr>
    </w:p>
    <w:p w14:paraId="01A2E9DD" w14:textId="77777777" w:rsidR="00A10B57" w:rsidRDefault="00A10B57" w:rsidP="00A10B57">
      <w:pPr>
        <w:rPr>
          <w:rFonts w:ascii="Poppins" w:eastAsia="Times New Roman" w:hAnsi="Poppins" w:cs="Poppins"/>
        </w:rPr>
      </w:pPr>
    </w:p>
    <w:p w14:paraId="1336F37B" w14:textId="161BAB98" w:rsidR="00A10B57" w:rsidRPr="00A10B57" w:rsidRDefault="00A10B57" w:rsidP="00A10B57">
      <w:pPr>
        <w:rPr>
          <w:rFonts w:ascii="Poppins" w:eastAsia="Times New Roman" w:hAnsi="Poppins" w:cs="Poppins"/>
          <w:b/>
          <w:bCs/>
        </w:rPr>
      </w:pPr>
      <w:r w:rsidRPr="00A10B57">
        <w:rPr>
          <w:rFonts w:ascii="Poppins" w:eastAsia="Times New Roman" w:hAnsi="Poppins" w:cs="Poppins"/>
          <w:b/>
          <w:bCs/>
        </w:rPr>
        <w:lastRenderedPageBreak/>
        <w:t>Continuous Professional Development:</w:t>
      </w:r>
    </w:p>
    <w:p w14:paraId="3E277094" w14:textId="77777777" w:rsidR="00A10B57" w:rsidRDefault="00A10B57" w:rsidP="00A10B57">
      <w:pPr>
        <w:rPr>
          <w:rFonts w:ascii="Poppins" w:eastAsia="Times New Roman" w:hAnsi="Poppins" w:cs="Poppins"/>
        </w:rPr>
      </w:pPr>
      <w:r>
        <w:rPr>
          <w:rFonts w:ascii="Poppins" w:eastAsia="Times New Roman" w:hAnsi="Poppins" w:cs="Poppins"/>
        </w:rPr>
        <w:t>- Social workers should engage in ongoing training and professional development to stay updated on legal requirements, best practices, and ethical considerations in conducting Merton-compliant assessments.</w:t>
      </w:r>
    </w:p>
    <w:p w14:paraId="0A16AEC4" w14:textId="77777777" w:rsidR="00A10B57" w:rsidRDefault="00A10B57" w:rsidP="00A10B57">
      <w:pPr>
        <w:rPr>
          <w:rFonts w:ascii="Poppins" w:eastAsia="Times New Roman" w:hAnsi="Poppins" w:cs="Poppins"/>
        </w:rPr>
      </w:pPr>
      <w:r>
        <w:rPr>
          <w:rFonts w:ascii="Poppins" w:eastAsia="Times New Roman" w:hAnsi="Poppins" w:cs="Poppins"/>
        </w:rPr>
        <w:t>- Collaboration with Legal Experts: Work closely with legal advisors and organizations specializing in asylum and immigration law to ensure compliance with legal standards and procedures.</w:t>
      </w:r>
    </w:p>
    <w:p w14:paraId="233B563E" w14:textId="77777777" w:rsidR="00A10B57" w:rsidRDefault="00A10B57" w:rsidP="00A10B57">
      <w:pPr>
        <w:rPr>
          <w:rFonts w:ascii="Poppins" w:eastAsia="Times New Roman" w:hAnsi="Poppins" w:cs="Poppins"/>
        </w:rPr>
      </w:pPr>
    </w:p>
    <w:p w14:paraId="3668557A" w14:textId="77777777" w:rsidR="00A10B57" w:rsidRDefault="00A10B57" w:rsidP="00A10B57">
      <w:pPr>
        <w:rPr>
          <w:rFonts w:ascii="Poppins" w:eastAsia="Times New Roman" w:hAnsi="Poppins" w:cs="Poppins"/>
        </w:rPr>
      </w:pPr>
      <w:r>
        <w:rPr>
          <w:rFonts w:ascii="Poppins" w:eastAsia="Times New Roman" w:hAnsi="Poppins" w:cs="Poppins"/>
        </w:rPr>
        <w:t>By adhering to the principles of Merton compliance and applying them in practice, social workers can conduct fair, transparent, and lawful assessments, particularly in cases involving vulnerable individuals such as unaccompanied asylum-seeking children.</w:t>
      </w:r>
    </w:p>
    <w:p w14:paraId="7E0554E1" w14:textId="77777777" w:rsidR="006A5068" w:rsidRDefault="006A5068"/>
    <w:sectPr w:rsidR="006A50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57"/>
    <w:rsid w:val="004D1478"/>
    <w:rsid w:val="00585E36"/>
    <w:rsid w:val="006A5068"/>
    <w:rsid w:val="00A10B57"/>
    <w:rsid w:val="00A20714"/>
    <w:rsid w:val="00A67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18E2"/>
  <w15:chartTrackingRefBased/>
  <w15:docId w15:val="{63696117-0517-4C81-92BD-10405243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B57"/>
    <w:pPr>
      <w:spacing w:after="0" w:line="240" w:lineRule="auto"/>
    </w:pPr>
    <w:rPr>
      <w:rFonts w:ascii="Calibri" w:hAnsi="Calibri" w:cs="Calibri"/>
      <w:kern w:val="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87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406</Words>
  <Characters>2318</Characters>
  <Application>Microsoft Office Word</Application>
  <DocSecurity>4</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Houston, Elise</dc:creator>
  <cp:keywords/>
  <dc:description/>
  <cp:lastModifiedBy>Mcardle, Anthony</cp:lastModifiedBy>
  <cp:revision>2</cp:revision>
  <dcterms:created xsi:type="dcterms:W3CDTF">2024-09-09T10:03:00Z</dcterms:created>
  <dcterms:modified xsi:type="dcterms:W3CDTF">2024-09-09T10:03:00Z</dcterms:modified>
</cp:coreProperties>
</file>