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62D9A" w14:textId="77777777" w:rsidR="00DB0483" w:rsidRDefault="00DB0483" w:rsidP="00DB0483">
      <w:pPr>
        <w:rPr>
          <w:rFonts w:ascii="Arial" w:hAnsi="Arial" w:cs="Arial"/>
          <w:b/>
          <w:bCs/>
        </w:rPr>
      </w:pPr>
      <w:r>
        <w:rPr>
          <w:noProof/>
          <w:lang w:eastAsia="en-GB"/>
        </w:rPr>
        <w:drawing>
          <wp:anchor distT="0" distB="0" distL="114300" distR="114300" simplePos="0" relativeHeight="251658240" behindDoc="1" locked="0" layoutInCell="1" allowOverlap="1" wp14:anchorId="78F45B3D" wp14:editId="515D3469">
            <wp:simplePos x="0" y="0"/>
            <wp:positionH relativeFrom="margin">
              <wp:align>center</wp:align>
            </wp:positionH>
            <wp:positionV relativeFrom="paragraph">
              <wp:posOffset>0</wp:posOffset>
            </wp:positionV>
            <wp:extent cx="1186815" cy="847725"/>
            <wp:effectExtent l="0" t="0" r="0" b="9525"/>
            <wp:wrapTight wrapText="bothSides">
              <wp:wrapPolygon edited="0">
                <wp:start x="0" y="0"/>
                <wp:lineTo x="0" y="21357"/>
                <wp:lineTo x="21149" y="21357"/>
                <wp:lineTo x="21149" y="0"/>
                <wp:lineTo x="0" y="0"/>
              </wp:wrapPolygon>
            </wp:wrapTight>
            <wp:docPr id="1" name="Picture 1" descr="C:\Users\59259\AppData\Local\Microsoft\Windows\Temporary Internet Files\Content.Word\10711_NSA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9259\AppData\Local\Microsoft\Windows\Temporary Internet Files\Content.Word\10711_NSAB_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681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202BAA" w14:textId="77777777" w:rsidR="00DB0483" w:rsidRDefault="00DB0483" w:rsidP="00DB0483">
      <w:pPr>
        <w:rPr>
          <w:rFonts w:ascii="Arial" w:hAnsi="Arial" w:cs="Arial"/>
          <w:b/>
          <w:bCs/>
        </w:rPr>
      </w:pPr>
    </w:p>
    <w:p w14:paraId="2437D8F9" w14:textId="77777777" w:rsidR="00DB0483" w:rsidRDefault="00DB0483" w:rsidP="00DB0483">
      <w:pPr>
        <w:rPr>
          <w:rFonts w:ascii="Arial" w:hAnsi="Arial" w:cs="Arial"/>
          <w:b/>
          <w:bCs/>
        </w:rPr>
      </w:pPr>
    </w:p>
    <w:p w14:paraId="0D1806BE" w14:textId="77777777" w:rsidR="00DB0483" w:rsidRDefault="00DB0483" w:rsidP="00DB0483">
      <w:pPr>
        <w:jc w:val="center"/>
        <w:rPr>
          <w:rFonts w:ascii="Arial" w:hAnsi="Arial" w:cs="Arial"/>
          <w:b/>
          <w:bCs/>
          <w:sz w:val="32"/>
          <w:szCs w:val="32"/>
        </w:rPr>
      </w:pPr>
    </w:p>
    <w:p w14:paraId="11AE1107" w14:textId="03D24524" w:rsidR="00DB0483" w:rsidRPr="00DB0483" w:rsidRDefault="00DB0483" w:rsidP="00DB0483">
      <w:pPr>
        <w:jc w:val="center"/>
        <w:rPr>
          <w:rFonts w:ascii="Arial" w:hAnsi="Arial" w:cs="Arial"/>
          <w:b/>
          <w:bCs/>
          <w:sz w:val="28"/>
          <w:szCs w:val="28"/>
        </w:rPr>
      </w:pPr>
      <w:r w:rsidRPr="00DB0483">
        <w:rPr>
          <w:rFonts w:ascii="Arial" w:hAnsi="Arial" w:cs="Arial"/>
          <w:b/>
          <w:bCs/>
          <w:sz w:val="32"/>
          <w:szCs w:val="32"/>
        </w:rPr>
        <w:t>Executive Functioning and Mental Capacity Act (MCA) Considerations</w:t>
      </w:r>
    </w:p>
    <w:p w14:paraId="3EF28565" w14:textId="66D843CE" w:rsidR="00DB0483" w:rsidRDefault="00DB0483" w:rsidP="00DB0483">
      <w:pPr>
        <w:jc w:val="center"/>
        <w:rPr>
          <w:rFonts w:ascii="Arial" w:hAnsi="Arial" w:cs="Arial"/>
          <w:b/>
          <w:bCs/>
        </w:rPr>
      </w:pPr>
      <w:r>
        <w:rPr>
          <w:rFonts w:ascii="Arial" w:hAnsi="Arial" w:cs="Arial"/>
          <w:b/>
          <w:bCs/>
        </w:rPr>
        <w:t>NSAB Practitioner Guidance</w:t>
      </w:r>
    </w:p>
    <w:p w14:paraId="67778E58" w14:textId="31D8B1CC" w:rsidR="00FD2324" w:rsidRDefault="00000000" w:rsidP="002548D1">
      <w:pPr>
        <w:rPr>
          <w:rFonts w:ascii="Arial" w:hAnsi="Arial" w:cs="Arial"/>
          <w:b/>
          <w:bCs/>
          <w:sz w:val="24"/>
          <w:szCs w:val="24"/>
        </w:rPr>
      </w:pPr>
      <w:r>
        <w:rPr>
          <w:rFonts w:ascii="Arial" w:hAnsi="Arial" w:cs="Arial"/>
          <w:sz w:val="24"/>
          <w:szCs w:val="24"/>
        </w:rPr>
        <w:pict w14:anchorId="4F9F6B00">
          <v:rect id="_x0000_i1025" style="width:0;height:1.5pt" o:hralign="center" o:hrstd="t" o:hr="t" fillcolor="#a0a0a0" stroked="f"/>
        </w:pict>
      </w:r>
    </w:p>
    <w:p w14:paraId="4E94E9AF" w14:textId="233FA2E5" w:rsidR="00FD2324" w:rsidRPr="002548D1" w:rsidRDefault="00FD2324" w:rsidP="00FD2324">
      <w:pPr>
        <w:rPr>
          <w:rFonts w:ascii="Arial" w:hAnsi="Arial" w:cs="Arial"/>
          <w:sz w:val="24"/>
          <w:szCs w:val="24"/>
        </w:rPr>
      </w:pPr>
      <w:r w:rsidRPr="002548D1">
        <w:rPr>
          <w:rFonts w:ascii="Arial" w:hAnsi="Arial" w:cs="Arial"/>
          <w:sz w:val="24"/>
          <w:szCs w:val="24"/>
        </w:rPr>
        <w:t xml:space="preserve">Executive functioning is not a “new test” of capacity, but a necessary lens for applying the </w:t>
      </w:r>
      <w:r w:rsidR="007E2E6C">
        <w:rPr>
          <w:rFonts w:ascii="Arial" w:hAnsi="Arial" w:cs="Arial"/>
          <w:sz w:val="24"/>
          <w:szCs w:val="24"/>
        </w:rPr>
        <w:t xml:space="preserve">Mental Capacity Act </w:t>
      </w:r>
      <w:r w:rsidRPr="002548D1">
        <w:rPr>
          <w:rFonts w:ascii="Arial" w:hAnsi="Arial" w:cs="Arial"/>
          <w:sz w:val="24"/>
          <w:szCs w:val="24"/>
        </w:rPr>
        <w:t>lawfully and proportionately in complex safeguarding situations. Where drug and alcohol use intersect with vulnerability, robust multi</w:t>
      </w:r>
      <w:r w:rsidRPr="002548D1">
        <w:rPr>
          <w:rFonts w:ascii="Arial" w:hAnsi="Arial" w:cs="Arial"/>
          <w:sz w:val="24"/>
          <w:szCs w:val="24"/>
        </w:rPr>
        <w:noBreakHyphen/>
        <w:t>agency practice is critical to balancing autonomy, protection, and human rights.</w:t>
      </w:r>
    </w:p>
    <w:p w14:paraId="3D420962" w14:textId="77777777" w:rsidR="002548D1" w:rsidRPr="002548D1" w:rsidRDefault="00000000" w:rsidP="002548D1">
      <w:pPr>
        <w:rPr>
          <w:rFonts w:ascii="Arial" w:hAnsi="Arial" w:cs="Arial"/>
          <w:sz w:val="24"/>
          <w:szCs w:val="24"/>
        </w:rPr>
      </w:pPr>
      <w:r>
        <w:rPr>
          <w:rFonts w:ascii="Arial" w:hAnsi="Arial" w:cs="Arial"/>
          <w:sz w:val="24"/>
          <w:szCs w:val="24"/>
        </w:rPr>
        <w:pict w14:anchorId="02BFE62E">
          <v:rect id="_x0000_i1026" style="width:0;height:1.5pt" o:hralign="center" o:hrstd="t" o:hr="t" fillcolor="#a0a0a0" stroked="f"/>
        </w:pict>
      </w:r>
    </w:p>
    <w:p w14:paraId="296EDC27" w14:textId="36E3728D" w:rsidR="002548D1" w:rsidRPr="00BB6FBE" w:rsidRDefault="002548D1" w:rsidP="002548D1">
      <w:pPr>
        <w:rPr>
          <w:rFonts w:ascii="Arial" w:hAnsi="Arial" w:cs="Arial"/>
          <w:b/>
          <w:bCs/>
          <w:sz w:val="28"/>
          <w:szCs w:val="28"/>
        </w:rPr>
      </w:pPr>
      <w:r w:rsidRPr="00BB6FBE">
        <w:rPr>
          <w:rFonts w:ascii="Arial" w:hAnsi="Arial" w:cs="Arial"/>
          <w:b/>
          <w:bCs/>
          <w:sz w:val="28"/>
          <w:szCs w:val="28"/>
        </w:rPr>
        <w:t>1. Purpose of this</w:t>
      </w:r>
      <w:r w:rsidR="00BB6FBE">
        <w:rPr>
          <w:rFonts w:ascii="Arial" w:hAnsi="Arial" w:cs="Arial"/>
          <w:b/>
          <w:bCs/>
          <w:sz w:val="28"/>
          <w:szCs w:val="28"/>
        </w:rPr>
        <w:t xml:space="preserve"> practitioner guidance</w:t>
      </w:r>
    </w:p>
    <w:p w14:paraId="1D009F0F" w14:textId="7822C35D" w:rsidR="002548D1" w:rsidRPr="002548D1" w:rsidRDefault="002548D1" w:rsidP="002548D1">
      <w:pPr>
        <w:rPr>
          <w:rFonts w:ascii="Arial" w:hAnsi="Arial" w:cs="Arial"/>
          <w:sz w:val="24"/>
          <w:szCs w:val="24"/>
        </w:rPr>
      </w:pPr>
      <w:r w:rsidRPr="002548D1">
        <w:rPr>
          <w:rFonts w:ascii="Arial" w:hAnsi="Arial" w:cs="Arial"/>
          <w:sz w:val="24"/>
          <w:szCs w:val="24"/>
        </w:rPr>
        <w:t xml:space="preserve">This briefing provides </w:t>
      </w:r>
      <w:r>
        <w:rPr>
          <w:rFonts w:ascii="Arial" w:hAnsi="Arial" w:cs="Arial"/>
          <w:sz w:val="24"/>
          <w:szCs w:val="24"/>
        </w:rPr>
        <w:t xml:space="preserve">the Newcastle </w:t>
      </w:r>
      <w:r w:rsidRPr="002548D1">
        <w:rPr>
          <w:rFonts w:ascii="Arial" w:hAnsi="Arial" w:cs="Arial"/>
          <w:sz w:val="24"/>
          <w:szCs w:val="24"/>
        </w:rPr>
        <w:t>Safeguarding Adults Board and partner agencies with a shared understanding of executive functioning within Mental Capacity Act (MCA) considerations, particularly where safeguarding risks are heightened by drug and/or alcohol use.</w:t>
      </w:r>
    </w:p>
    <w:p w14:paraId="3BE2C297" w14:textId="77777777" w:rsidR="002548D1" w:rsidRPr="002548D1" w:rsidRDefault="002548D1" w:rsidP="002548D1">
      <w:pPr>
        <w:rPr>
          <w:rFonts w:ascii="Arial" w:hAnsi="Arial" w:cs="Arial"/>
          <w:sz w:val="24"/>
          <w:szCs w:val="24"/>
        </w:rPr>
      </w:pPr>
      <w:r w:rsidRPr="002548D1">
        <w:rPr>
          <w:rFonts w:ascii="Arial" w:hAnsi="Arial" w:cs="Arial"/>
          <w:sz w:val="24"/>
          <w:szCs w:val="24"/>
        </w:rPr>
        <w:t>It draws together:</w:t>
      </w:r>
    </w:p>
    <w:p w14:paraId="054FE0EB" w14:textId="77777777" w:rsidR="002548D1" w:rsidRPr="002548D1" w:rsidRDefault="002548D1" w:rsidP="002548D1">
      <w:pPr>
        <w:numPr>
          <w:ilvl w:val="0"/>
          <w:numId w:val="1"/>
        </w:numPr>
        <w:rPr>
          <w:rFonts w:ascii="Arial" w:hAnsi="Arial" w:cs="Arial"/>
          <w:sz w:val="24"/>
          <w:szCs w:val="24"/>
        </w:rPr>
      </w:pPr>
      <w:r w:rsidRPr="002548D1">
        <w:rPr>
          <w:rFonts w:ascii="Arial" w:hAnsi="Arial" w:cs="Arial"/>
          <w:sz w:val="24"/>
          <w:szCs w:val="24"/>
        </w:rPr>
        <w:t>MCA Code of Practice principles</w:t>
      </w:r>
    </w:p>
    <w:p w14:paraId="6474447A" w14:textId="77777777" w:rsidR="002548D1" w:rsidRPr="002548D1" w:rsidRDefault="002548D1" w:rsidP="002548D1">
      <w:pPr>
        <w:numPr>
          <w:ilvl w:val="0"/>
          <w:numId w:val="1"/>
        </w:numPr>
        <w:rPr>
          <w:rFonts w:ascii="Arial" w:hAnsi="Arial" w:cs="Arial"/>
          <w:sz w:val="24"/>
          <w:szCs w:val="24"/>
        </w:rPr>
      </w:pPr>
      <w:r w:rsidRPr="002548D1">
        <w:rPr>
          <w:rFonts w:ascii="Arial" w:hAnsi="Arial" w:cs="Arial"/>
          <w:sz w:val="24"/>
          <w:szCs w:val="24"/>
        </w:rPr>
        <w:t>National safeguarding board guidance and practice notes</w:t>
      </w:r>
    </w:p>
    <w:p w14:paraId="5B73E37F" w14:textId="77777777" w:rsidR="002548D1" w:rsidRPr="002548D1" w:rsidRDefault="002548D1" w:rsidP="002548D1">
      <w:pPr>
        <w:numPr>
          <w:ilvl w:val="0"/>
          <w:numId w:val="1"/>
        </w:numPr>
        <w:rPr>
          <w:rFonts w:ascii="Arial" w:hAnsi="Arial" w:cs="Arial"/>
          <w:sz w:val="24"/>
          <w:szCs w:val="24"/>
        </w:rPr>
      </w:pPr>
      <w:r w:rsidRPr="002548D1">
        <w:rPr>
          <w:rFonts w:ascii="Arial" w:hAnsi="Arial" w:cs="Arial"/>
          <w:sz w:val="24"/>
          <w:szCs w:val="24"/>
        </w:rPr>
        <w:t>Learning from Safeguarding Adult Reviews (SARs)</w:t>
      </w:r>
    </w:p>
    <w:p w14:paraId="07EB5D8D" w14:textId="77777777" w:rsidR="002548D1" w:rsidRPr="002548D1" w:rsidRDefault="002548D1" w:rsidP="002548D1">
      <w:pPr>
        <w:numPr>
          <w:ilvl w:val="0"/>
          <w:numId w:val="1"/>
        </w:numPr>
        <w:rPr>
          <w:rFonts w:ascii="Arial" w:hAnsi="Arial" w:cs="Arial"/>
          <w:sz w:val="24"/>
          <w:szCs w:val="24"/>
        </w:rPr>
      </w:pPr>
      <w:r w:rsidRPr="002548D1">
        <w:rPr>
          <w:rFonts w:ascii="Arial" w:hAnsi="Arial" w:cs="Arial"/>
          <w:sz w:val="24"/>
          <w:szCs w:val="24"/>
        </w:rPr>
        <w:t>Briefings on substance misuse and capacity</w:t>
      </w:r>
    </w:p>
    <w:p w14:paraId="6B70989A" w14:textId="4DCC464F" w:rsidR="002548D1" w:rsidRPr="002548D1" w:rsidRDefault="002548D1" w:rsidP="002548D1">
      <w:pPr>
        <w:rPr>
          <w:rFonts w:ascii="Arial" w:hAnsi="Arial" w:cs="Arial"/>
          <w:sz w:val="24"/>
          <w:szCs w:val="24"/>
        </w:rPr>
      </w:pPr>
      <w:r w:rsidRPr="002548D1">
        <w:rPr>
          <w:rFonts w:ascii="Arial" w:hAnsi="Arial" w:cs="Arial"/>
          <w:sz w:val="24"/>
          <w:szCs w:val="24"/>
        </w:rPr>
        <w:t xml:space="preserve">The aim is to support consistent, defensible, and proportionate </w:t>
      </w:r>
      <w:r w:rsidRPr="7A9FD7AE">
        <w:rPr>
          <w:rFonts w:ascii="Arial" w:hAnsi="Arial" w:cs="Arial"/>
          <w:sz w:val="24"/>
          <w:szCs w:val="24"/>
        </w:rPr>
        <w:t>multiagency</w:t>
      </w:r>
      <w:r w:rsidRPr="002548D1">
        <w:rPr>
          <w:rFonts w:ascii="Arial" w:hAnsi="Arial" w:cs="Arial"/>
          <w:sz w:val="24"/>
          <w:szCs w:val="24"/>
        </w:rPr>
        <w:t xml:space="preserve"> practice, especially in complex safeguarding situations such as self</w:t>
      </w:r>
      <w:r w:rsidR="008F3E1C">
        <w:rPr>
          <w:rFonts w:ascii="Arial" w:hAnsi="Arial" w:cs="Arial"/>
          <w:sz w:val="24"/>
          <w:szCs w:val="24"/>
        </w:rPr>
        <w:t>-</w:t>
      </w:r>
      <w:r w:rsidRPr="002548D1">
        <w:rPr>
          <w:rFonts w:ascii="Arial" w:hAnsi="Arial" w:cs="Arial"/>
          <w:sz w:val="24"/>
          <w:szCs w:val="24"/>
        </w:rPr>
        <w:t>neglect, exploitation, domestic abuse, homelessness, and repeated harm.</w:t>
      </w:r>
    </w:p>
    <w:p w14:paraId="599B367E" w14:textId="77777777" w:rsidR="002548D1" w:rsidRPr="002548D1" w:rsidRDefault="00000000" w:rsidP="002548D1">
      <w:pPr>
        <w:rPr>
          <w:rFonts w:ascii="Arial" w:hAnsi="Arial" w:cs="Arial"/>
          <w:sz w:val="24"/>
          <w:szCs w:val="24"/>
        </w:rPr>
      </w:pPr>
      <w:r>
        <w:rPr>
          <w:rFonts w:ascii="Arial" w:hAnsi="Arial" w:cs="Arial"/>
          <w:sz w:val="24"/>
          <w:szCs w:val="24"/>
        </w:rPr>
        <w:pict w14:anchorId="16EE316E">
          <v:rect id="_x0000_i1027" style="width:0;height:1.5pt" o:hralign="center" o:hrstd="t" o:hr="t" fillcolor="#a0a0a0" stroked="f"/>
        </w:pict>
      </w:r>
    </w:p>
    <w:p w14:paraId="32866501" w14:textId="77777777" w:rsidR="002548D1" w:rsidRPr="00BB6FBE" w:rsidRDefault="002548D1" w:rsidP="002548D1">
      <w:pPr>
        <w:rPr>
          <w:rFonts w:ascii="Arial" w:hAnsi="Arial" w:cs="Arial"/>
          <w:b/>
          <w:bCs/>
          <w:sz w:val="28"/>
          <w:szCs w:val="28"/>
        </w:rPr>
      </w:pPr>
      <w:r w:rsidRPr="00BB6FBE">
        <w:rPr>
          <w:rFonts w:ascii="Arial" w:hAnsi="Arial" w:cs="Arial"/>
          <w:b/>
          <w:bCs/>
          <w:sz w:val="28"/>
          <w:szCs w:val="28"/>
        </w:rPr>
        <w:t>2. What is executive functioning and why does it matter?</w:t>
      </w:r>
    </w:p>
    <w:p w14:paraId="68DD9A0C" w14:textId="77777777" w:rsidR="002548D1" w:rsidRPr="002548D1" w:rsidRDefault="002548D1" w:rsidP="002548D1">
      <w:pPr>
        <w:rPr>
          <w:rFonts w:ascii="Arial" w:hAnsi="Arial" w:cs="Arial"/>
          <w:sz w:val="24"/>
          <w:szCs w:val="24"/>
        </w:rPr>
      </w:pPr>
      <w:r w:rsidRPr="002548D1">
        <w:rPr>
          <w:rFonts w:ascii="Arial" w:hAnsi="Arial" w:cs="Arial"/>
          <w:sz w:val="24"/>
          <w:szCs w:val="24"/>
        </w:rPr>
        <w:t>Executive functioning refers to the cognitive skills that enable a person to:</w:t>
      </w:r>
    </w:p>
    <w:p w14:paraId="186BB187" w14:textId="77777777" w:rsidR="002548D1" w:rsidRPr="002548D1" w:rsidRDefault="002548D1" w:rsidP="002548D1">
      <w:pPr>
        <w:numPr>
          <w:ilvl w:val="0"/>
          <w:numId w:val="2"/>
        </w:numPr>
        <w:rPr>
          <w:rFonts w:ascii="Arial" w:hAnsi="Arial" w:cs="Arial"/>
          <w:sz w:val="24"/>
          <w:szCs w:val="24"/>
        </w:rPr>
      </w:pPr>
      <w:r w:rsidRPr="002548D1">
        <w:rPr>
          <w:rFonts w:ascii="Arial" w:hAnsi="Arial" w:cs="Arial"/>
          <w:sz w:val="24"/>
          <w:szCs w:val="24"/>
        </w:rPr>
        <w:t>Plan and organise actions</w:t>
      </w:r>
    </w:p>
    <w:p w14:paraId="7686427C" w14:textId="77777777" w:rsidR="002548D1" w:rsidRPr="002548D1" w:rsidRDefault="002548D1" w:rsidP="002548D1">
      <w:pPr>
        <w:numPr>
          <w:ilvl w:val="0"/>
          <w:numId w:val="2"/>
        </w:numPr>
        <w:rPr>
          <w:rFonts w:ascii="Arial" w:hAnsi="Arial" w:cs="Arial"/>
          <w:sz w:val="24"/>
          <w:szCs w:val="24"/>
        </w:rPr>
      </w:pPr>
      <w:r w:rsidRPr="002548D1">
        <w:rPr>
          <w:rFonts w:ascii="Arial" w:hAnsi="Arial" w:cs="Arial"/>
          <w:sz w:val="24"/>
          <w:szCs w:val="24"/>
        </w:rPr>
        <w:t>Initiate and follow through on decisions</w:t>
      </w:r>
    </w:p>
    <w:p w14:paraId="17B182F7" w14:textId="77777777" w:rsidR="002548D1" w:rsidRPr="002548D1" w:rsidRDefault="002548D1" w:rsidP="002548D1">
      <w:pPr>
        <w:numPr>
          <w:ilvl w:val="0"/>
          <w:numId w:val="2"/>
        </w:numPr>
        <w:rPr>
          <w:rFonts w:ascii="Arial" w:hAnsi="Arial" w:cs="Arial"/>
          <w:sz w:val="24"/>
          <w:szCs w:val="24"/>
        </w:rPr>
      </w:pPr>
      <w:r w:rsidRPr="002548D1">
        <w:rPr>
          <w:rFonts w:ascii="Arial" w:hAnsi="Arial" w:cs="Arial"/>
          <w:sz w:val="24"/>
          <w:szCs w:val="24"/>
        </w:rPr>
        <w:t>Weigh consequences in real time</w:t>
      </w:r>
    </w:p>
    <w:p w14:paraId="0FF9F136" w14:textId="77777777" w:rsidR="002548D1" w:rsidRPr="002548D1" w:rsidRDefault="002548D1" w:rsidP="002548D1">
      <w:pPr>
        <w:numPr>
          <w:ilvl w:val="0"/>
          <w:numId w:val="2"/>
        </w:numPr>
        <w:rPr>
          <w:rFonts w:ascii="Arial" w:hAnsi="Arial" w:cs="Arial"/>
          <w:sz w:val="24"/>
          <w:szCs w:val="24"/>
        </w:rPr>
      </w:pPr>
      <w:r w:rsidRPr="002548D1">
        <w:rPr>
          <w:rFonts w:ascii="Arial" w:hAnsi="Arial" w:cs="Arial"/>
          <w:sz w:val="24"/>
          <w:szCs w:val="24"/>
        </w:rPr>
        <w:lastRenderedPageBreak/>
        <w:t>Control impulses and regulate behaviour</w:t>
      </w:r>
    </w:p>
    <w:p w14:paraId="02A74FEE" w14:textId="77777777" w:rsidR="002548D1" w:rsidRPr="002548D1" w:rsidRDefault="002548D1" w:rsidP="002548D1">
      <w:pPr>
        <w:numPr>
          <w:ilvl w:val="0"/>
          <w:numId w:val="2"/>
        </w:numPr>
        <w:rPr>
          <w:rFonts w:ascii="Arial" w:hAnsi="Arial" w:cs="Arial"/>
          <w:sz w:val="24"/>
          <w:szCs w:val="24"/>
        </w:rPr>
      </w:pPr>
      <w:r w:rsidRPr="002548D1">
        <w:rPr>
          <w:rFonts w:ascii="Arial" w:hAnsi="Arial" w:cs="Arial"/>
          <w:sz w:val="24"/>
          <w:szCs w:val="24"/>
        </w:rPr>
        <w:t>Adapt behaviour based on feedback or outcomes</w:t>
      </w:r>
    </w:p>
    <w:p w14:paraId="67B2107C" w14:textId="0994FBD1" w:rsidR="002548D1" w:rsidRPr="002548D1" w:rsidRDefault="002548D1" w:rsidP="002548D1">
      <w:pPr>
        <w:rPr>
          <w:rFonts w:ascii="Arial" w:hAnsi="Arial" w:cs="Arial"/>
          <w:sz w:val="24"/>
          <w:szCs w:val="24"/>
        </w:rPr>
      </w:pPr>
      <w:r w:rsidRPr="002548D1">
        <w:rPr>
          <w:rFonts w:ascii="Arial" w:hAnsi="Arial" w:cs="Arial"/>
          <w:sz w:val="24"/>
          <w:szCs w:val="24"/>
        </w:rPr>
        <w:t>While executive functioning is not explicitly named in the Mental Capacity Act 2005, it is now widely recognised in safeguarding guidance, SARs, and Court of Protection judgments as highly relevant to capacity assessments, particularly in high</w:t>
      </w:r>
      <w:r w:rsidR="008F3E1C">
        <w:rPr>
          <w:rFonts w:ascii="Arial" w:hAnsi="Arial" w:cs="Arial"/>
          <w:sz w:val="24"/>
          <w:szCs w:val="24"/>
        </w:rPr>
        <w:t>-</w:t>
      </w:r>
      <w:r w:rsidRPr="002548D1">
        <w:rPr>
          <w:rFonts w:ascii="Arial" w:hAnsi="Arial" w:cs="Arial"/>
          <w:sz w:val="24"/>
          <w:szCs w:val="24"/>
        </w:rPr>
        <w:t>risk contexts.</w:t>
      </w:r>
    </w:p>
    <w:p w14:paraId="352F59A3" w14:textId="77777777" w:rsidR="002548D1" w:rsidRPr="002548D1" w:rsidRDefault="002548D1" w:rsidP="002548D1">
      <w:pPr>
        <w:rPr>
          <w:rFonts w:ascii="Arial" w:hAnsi="Arial" w:cs="Arial"/>
          <w:sz w:val="24"/>
          <w:szCs w:val="24"/>
        </w:rPr>
      </w:pPr>
      <w:r w:rsidRPr="002548D1">
        <w:rPr>
          <w:rFonts w:ascii="Arial" w:hAnsi="Arial" w:cs="Arial"/>
          <w:sz w:val="24"/>
          <w:szCs w:val="24"/>
        </w:rPr>
        <w:t>A recurring safeguarding challenge is where individuals:</w:t>
      </w:r>
    </w:p>
    <w:p w14:paraId="748EA4F8" w14:textId="77777777" w:rsidR="002548D1" w:rsidRPr="002548D1" w:rsidRDefault="002548D1" w:rsidP="002548D1">
      <w:pPr>
        <w:numPr>
          <w:ilvl w:val="0"/>
          <w:numId w:val="3"/>
        </w:numPr>
        <w:rPr>
          <w:rFonts w:ascii="Arial" w:hAnsi="Arial" w:cs="Arial"/>
          <w:sz w:val="24"/>
          <w:szCs w:val="24"/>
        </w:rPr>
      </w:pPr>
      <w:r w:rsidRPr="002548D1">
        <w:rPr>
          <w:rFonts w:ascii="Arial" w:hAnsi="Arial" w:cs="Arial"/>
          <w:sz w:val="24"/>
          <w:szCs w:val="24"/>
        </w:rPr>
        <w:t>Can clearly explain risks and options</w:t>
      </w:r>
    </w:p>
    <w:p w14:paraId="1F5BA75F" w14:textId="77777777" w:rsidR="002548D1" w:rsidRPr="002548D1" w:rsidRDefault="002548D1" w:rsidP="002548D1">
      <w:pPr>
        <w:numPr>
          <w:ilvl w:val="0"/>
          <w:numId w:val="3"/>
        </w:numPr>
        <w:rPr>
          <w:rFonts w:ascii="Arial" w:hAnsi="Arial" w:cs="Arial"/>
          <w:sz w:val="24"/>
          <w:szCs w:val="24"/>
        </w:rPr>
      </w:pPr>
      <w:r w:rsidRPr="002548D1">
        <w:rPr>
          <w:rFonts w:ascii="Arial" w:hAnsi="Arial" w:cs="Arial"/>
          <w:sz w:val="24"/>
          <w:szCs w:val="24"/>
        </w:rPr>
        <w:t>Appear to understand information during assessments</w:t>
      </w:r>
    </w:p>
    <w:p w14:paraId="1A30A2EF" w14:textId="77777777" w:rsidR="002548D1" w:rsidRPr="002548D1" w:rsidRDefault="002548D1" w:rsidP="002548D1">
      <w:pPr>
        <w:numPr>
          <w:ilvl w:val="0"/>
          <w:numId w:val="3"/>
        </w:numPr>
        <w:rPr>
          <w:rFonts w:ascii="Arial" w:hAnsi="Arial" w:cs="Arial"/>
          <w:sz w:val="24"/>
          <w:szCs w:val="24"/>
        </w:rPr>
      </w:pPr>
      <w:r w:rsidRPr="002548D1">
        <w:rPr>
          <w:rFonts w:ascii="Arial" w:hAnsi="Arial" w:cs="Arial"/>
          <w:sz w:val="24"/>
          <w:szCs w:val="24"/>
        </w:rPr>
        <w:t>But repeatedly fail to act in line with that understanding</w:t>
      </w:r>
    </w:p>
    <w:p w14:paraId="56E75FDF" w14:textId="77777777" w:rsidR="002548D1" w:rsidRPr="002548D1" w:rsidRDefault="002548D1" w:rsidP="002548D1">
      <w:pPr>
        <w:rPr>
          <w:rFonts w:ascii="Arial" w:hAnsi="Arial" w:cs="Arial"/>
          <w:sz w:val="24"/>
          <w:szCs w:val="24"/>
        </w:rPr>
      </w:pPr>
      <w:r w:rsidRPr="002548D1">
        <w:rPr>
          <w:rFonts w:ascii="Arial" w:hAnsi="Arial" w:cs="Arial"/>
          <w:sz w:val="24"/>
          <w:szCs w:val="24"/>
        </w:rPr>
        <w:t xml:space="preserve">This is often described in practice guidance as the person being able to “talk the </w:t>
      </w:r>
      <w:proofErr w:type="gramStart"/>
      <w:r w:rsidRPr="002548D1">
        <w:rPr>
          <w:rFonts w:ascii="Arial" w:hAnsi="Arial" w:cs="Arial"/>
          <w:sz w:val="24"/>
          <w:szCs w:val="24"/>
        </w:rPr>
        <w:t>talk, but</w:t>
      </w:r>
      <w:proofErr w:type="gramEnd"/>
      <w:r w:rsidRPr="002548D1">
        <w:rPr>
          <w:rFonts w:ascii="Arial" w:hAnsi="Arial" w:cs="Arial"/>
          <w:sz w:val="24"/>
          <w:szCs w:val="24"/>
        </w:rPr>
        <w:t xml:space="preserve"> not walk the walk.”</w:t>
      </w:r>
    </w:p>
    <w:p w14:paraId="0555DEEF" w14:textId="77777777" w:rsidR="002548D1" w:rsidRPr="002548D1" w:rsidRDefault="00000000" w:rsidP="002548D1">
      <w:pPr>
        <w:rPr>
          <w:rFonts w:ascii="Arial" w:hAnsi="Arial" w:cs="Arial"/>
          <w:sz w:val="24"/>
          <w:szCs w:val="24"/>
        </w:rPr>
      </w:pPr>
      <w:r>
        <w:rPr>
          <w:rFonts w:ascii="Arial" w:hAnsi="Arial" w:cs="Arial"/>
          <w:sz w:val="24"/>
          <w:szCs w:val="24"/>
        </w:rPr>
        <w:pict w14:anchorId="4AEAFDB6">
          <v:rect id="_x0000_i1028" style="width:0;height:1.5pt" o:hralign="center" o:hrstd="t" o:hr="t" fillcolor="#a0a0a0" stroked="f"/>
        </w:pict>
      </w:r>
    </w:p>
    <w:p w14:paraId="4A562009" w14:textId="77777777" w:rsidR="002548D1" w:rsidRPr="00277B5A" w:rsidRDefault="002548D1" w:rsidP="002548D1">
      <w:pPr>
        <w:rPr>
          <w:rFonts w:ascii="Arial" w:hAnsi="Arial" w:cs="Arial"/>
          <w:b/>
          <w:bCs/>
          <w:sz w:val="28"/>
          <w:szCs w:val="28"/>
        </w:rPr>
      </w:pPr>
      <w:r w:rsidRPr="00277B5A">
        <w:rPr>
          <w:rFonts w:ascii="Arial" w:hAnsi="Arial" w:cs="Arial"/>
          <w:b/>
          <w:bCs/>
          <w:sz w:val="28"/>
          <w:szCs w:val="28"/>
        </w:rPr>
        <w:t>3. Executive functioning within the MCA legal framework</w:t>
      </w:r>
    </w:p>
    <w:p w14:paraId="6517CF5C" w14:textId="77777777" w:rsidR="002548D1" w:rsidRPr="002548D1" w:rsidRDefault="002548D1" w:rsidP="002548D1">
      <w:pPr>
        <w:rPr>
          <w:rFonts w:ascii="Arial" w:hAnsi="Arial" w:cs="Arial"/>
          <w:sz w:val="24"/>
          <w:szCs w:val="24"/>
        </w:rPr>
      </w:pPr>
      <w:r w:rsidRPr="002548D1">
        <w:rPr>
          <w:rFonts w:ascii="Arial" w:hAnsi="Arial" w:cs="Arial"/>
          <w:sz w:val="24"/>
          <w:szCs w:val="24"/>
        </w:rPr>
        <w:t>The MCA requires assessors to consider whether a person can:</w:t>
      </w:r>
    </w:p>
    <w:p w14:paraId="5D7AF14F" w14:textId="77777777" w:rsidR="002548D1" w:rsidRPr="002548D1" w:rsidRDefault="002548D1" w:rsidP="002548D1">
      <w:pPr>
        <w:numPr>
          <w:ilvl w:val="0"/>
          <w:numId w:val="4"/>
        </w:numPr>
        <w:rPr>
          <w:rFonts w:ascii="Arial" w:hAnsi="Arial" w:cs="Arial"/>
          <w:sz w:val="24"/>
          <w:szCs w:val="24"/>
        </w:rPr>
      </w:pPr>
      <w:r w:rsidRPr="002548D1">
        <w:rPr>
          <w:rFonts w:ascii="Arial" w:hAnsi="Arial" w:cs="Arial"/>
          <w:sz w:val="24"/>
          <w:szCs w:val="24"/>
        </w:rPr>
        <w:t>Understand relevant information</w:t>
      </w:r>
    </w:p>
    <w:p w14:paraId="50884B53" w14:textId="77777777" w:rsidR="002548D1" w:rsidRPr="002548D1" w:rsidRDefault="002548D1" w:rsidP="002548D1">
      <w:pPr>
        <w:numPr>
          <w:ilvl w:val="0"/>
          <w:numId w:val="4"/>
        </w:numPr>
        <w:rPr>
          <w:rFonts w:ascii="Arial" w:hAnsi="Arial" w:cs="Arial"/>
          <w:sz w:val="24"/>
          <w:szCs w:val="24"/>
        </w:rPr>
      </w:pPr>
      <w:r w:rsidRPr="002548D1">
        <w:rPr>
          <w:rFonts w:ascii="Arial" w:hAnsi="Arial" w:cs="Arial"/>
          <w:sz w:val="24"/>
          <w:szCs w:val="24"/>
        </w:rPr>
        <w:t>Retain it</w:t>
      </w:r>
    </w:p>
    <w:p w14:paraId="17BE9103" w14:textId="31AB156A" w:rsidR="002548D1" w:rsidRPr="002548D1" w:rsidRDefault="002548D1" w:rsidP="002548D1">
      <w:pPr>
        <w:numPr>
          <w:ilvl w:val="0"/>
          <w:numId w:val="4"/>
        </w:numPr>
        <w:rPr>
          <w:rFonts w:ascii="Arial" w:hAnsi="Arial" w:cs="Arial"/>
          <w:sz w:val="24"/>
          <w:szCs w:val="24"/>
        </w:rPr>
      </w:pPr>
      <w:r w:rsidRPr="002548D1">
        <w:rPr>
          <w:rFonts w:ascii="Arial" w:hAnsi="Arial" w:cs="Arial"/>
          <w:sz w:val="24"/>
          <w:szCs w:val="24"/>
        </w:rPr>
        <w:t>Use or weigh it as part of decision</w:t>
      </w:r>
      <w:r w:rsidR="4738378B" w:rsidRPr="7A9FD7AE">
        <w:rPr>
          <w:rFonts w:ascii="Arial" w:hAnsi="Arial" w:cs="Arial"/>
          <w:sz w:val="24"/>
          <w:szCs w:val="24"/>
        </w:rPr>
        <w:t xml:space="preserve"> </w:t>
      </w:r>
      <w:r w:rsidRPr="002548D1">
        <w:rPr>
          <w:rFonts w:ascii="Arial" w:hAnsi="Arial" w:cs="Arial"/>
          <w:sz w:val="24"/>
          <w:szCs w:val="24"/>
        </w:rPr>
        <w:t>making</w:t>
      </w:r>
    </w:p>
    <w:p w14:paraId="04CDDC1D" w14:textId="77777777" w:rsidR="002548D1" w:rsidRPr="002548D1" w:rsidRDefault="002548D1" w:rsidP="002548D1">
      <w:pPr>
        <w:numPr>
          <w:ilvl w:val="0"/>
          <w:numId w:val="4"/>
        </w:numPr>
        <w:rPr>
          <w:rFonts w:ascii="Arial" w:hAnsi="Arial" w:cs="Arial"/>
          <w:sz w:val="24"/>
          <w:szCs w:val="24"/>
        </w:rPr>
      </w:pPr>
      <w:r w:rsidRPr="002548D1">
        <w:rPr>
          <w:rFonts w:ascii="Arial" w:hAnsi="Arial" w:cs="Arial"/>
          <w:sz w:val="24"/>
          <w:szCs w:val="24"/>
        </w:rPr>
        <w:t>Communicate their decision</w:t>
      </w:r>
    </w:p>
    <w:p w14:paraId="6881E49A" w14:textId="77777777" w:rsidR="002548D1" w:rsidRPr="002548D1" w:rsidRDefault="002548D1" w:rsidP="002548D1">
      <w:pPr>
        <w:rPr>
          <w:rFonts w:ascii="Arial" w:hAnsi="Arial" w:cs="Arial"/>
          <w:sz w:val="24"/>
          <w:szCs w:val="24"/>
        </w:rPr>
      </w:pPr>
      <w:r w:rsidRPr="002548D1">
        <w:rPr>
          <w:rFonts w:ascii="Arial" w:hAnsi="Arial" w:cs="Arial"/>
          <w:sz w:val="24"/>
          <w:szCs w:val="24"/>
        </w:rPr>
        <w:t>Executive functioning difficulties are most commonly relevant to the “use or weigh” element.</w:t>
      </w:r>
    </w:p>
    <w:p w14:paraId="5A2BDE41" w14:textId="77777777" w:rsidR="002548D1" w:rsidRPr="002548D1" w:rsidRDefault="002548D1" w:rsidP="002548D1">
      <w:pPr>
        <w:rPr>
          <w:rFonts w:ascii="Arial" w:hAnsi="Arial" w:cs="Arial"/>
          <w:sz w:val="24"/>
          <w:szCs w:val="24"/>
        </w:rPr>
      </w:pPr>
      <w:r w:rsidRPr="002548D1">
        <w:rPr>
          <w:rFonts w:ascii="Arial" w:hAnsi="Arial" w:cs="Arial"/>
          <w:sz w:val="24"/>
          <w:szCs w:val="24"/>
        </w:rPr>
        <w:t>The MCA Code of Practice recognises that:</w:t>
      </w:r>
    </w:p>
    <w:p w14:paraId="5FFA5C8C" w14:textId="77777777" w:rsidR="002548D1" w:rsidRPr="002548D1" w:rsidRDefault="002548D1" w:rsidP="002548D1">
      <w:pPr>
        <w:numPr>
          <w:ilvl w:val="0"/>
          <w:numId w:val="5"/>
        </w:numPr>
        <w:rPr>
          <w:rFonts w:ascii="Arial" w:hAnsi="Arial" w:cs="Arial"/>
          <w:sz w:val="24"/>
          <w:szCs w:val="24"/>
        </w:rPr>
      </w:pPr>
      <w:r w:rsidRPr="002548D1">
        <w:rPr>
          <w:rFonts w:ascii="Arial" w:hAnsi="Arial" w:cs="Arial"/>
          <w:sz w:val="24"/>
          <w:szCs w:val="24"/>
        </w:rPr>
        <w:t>A person may understand information intellectually</w:t>
      </w:r>
    </w:p>
    <w:p w14:paraId="22BD4725" w14:textId="17331BC3" w:rsidR="002548D1" w:rsidRPr="002548D1" w:rsidRDefault="002548D1" w:rsidP="002548D1">
      <w:pPr>
        <w:numPr>
          <w:ilvl w:val="0"/>
          <w:numId w:val="5"/>
        </w:numPr>
        <w:rPr>
          <w:rFonts w:ascii="Arial" w:hAnsi="Arial" w:cs="Arial"/>
          <w:sz w:val="24"/>
          <w:szCs w:val="24"/>
        </w:rPr>
      </w:pPr>
      <w:r w:rsidRPr="002548D1">
        <w:rPr>
          <w:rFonts w:ascii="Arial" w:hAnsi="Arial" w:cs="Arial"/>
          <w:sz w:val="24"/>
          <w:szCs w:val="24"/>
        </w:rPr>
        <w:t>But an impairment or disturbance of the mind or brain may prevent them from using or weighing that information effectively at the point of decision</w:t>
      </w:r>
      <w:r w:rsidR="7A08432A" w:rsidRPr="7A9FD7AE">
        <w:rPr>
          <w:rFonts w:ascii="Arial" w:hAnsi="Arial" w:cs="Arial"/>
          <w:sz w:val="24"/>
          <w:szCs w:val="24"/>
        </w:rPr>
        <w:t xml:space="preserve"> </w:t>
      </w:r>
      <w:r w:rsidRPr="002548D1">
        <w:rPr>
          <w:rFonts w:ascii="Arial" w:hAnsi="Arial" w:cs="Arial"/>
          <w:sz w:val="24"/>
          <w:szCs w:val="24"/>
        </w:rPr>
        <w:t>making</w:t>
      </w:r>
    </w:p>
    <w:p w14:paraId="525F1994" w14:textId="77777777" w:rsidR="002548D1" w:rsidRPr="002548D1" w:rsidRDefault="002548D1" w:rsidP="002548D1">
      <w:pPr>
        <w:rPr>
          <w:rFonts w:ascii="Arial" w:hAnsi="Arial" w:cs="Arial"/>
          <w:sz w:val="24"/>
          <w:szCs w:val="24"/>
        </w:rPr>
      </w:pPr>
      <w:r w:rsidRPr="002548D1">
        <w:rPr>
          <w:rFonts w:ascii="Arial" w:hAnsi="Arial" w:cs="Arial"/>
          <w:sz w:val="24"/>
          <w:szCs w:val="24"/>
        </w:rPr>
        <w:t>National practice notes emphasise that:</w:t>
      </w:r>
    </w:p>
    <w:p w14:paraId="25651304" w14:textId="77777777" w:rsidR="002548D1" w:rsidRPr="002548D1" w:rsidRDefault="002548D1" w:rsidP="002548D1">
      <w:pPr>
        <w:numPr>
          <w:ilvl w:val="0"/>
          <w:numId w:val="6"/>
        </w:numPr>
        <w:rPr>
          <w:rFonts w:ascii="Arial" w:hAnsi="Arial" w:cs="Arial"/>
          <w:sz w:val="24"/>
          <w:szCs w:val="24"/>
        </w:rPr>
      </w:pPr>
      <w:r w:rsidRPr="002548D1">
        <w:rPr>
          <w:rFonts w:ascii="Arial" w:hAnsi="Arial" w:cs="Arial"/>
          <w:sz w:val="24"/>
          <w:szCs w:val="24"/>
        </w:rPr>
        <w:t>Structured interviews alone may be insufficient</w:t>
      </w:r>
    </w:p>
    <w:p w14:paraId="31974889" w14:textId="0641C325" w:rsidR="002548D1" w:rsidRPr="002548D1" w:rsidRDefault="002548D1" w:rsidP="002548D1">
      <w:pPr>
        <w:numPr>
          <w:ilvl w:val="0"/>
          <w:numId w:val="6"/>
        </w:numPr>
        <w:rPr>
          <w:rFonts w:ascii="Arial" w:hAnsi="Arial" w:cs="Arial"/>
          <w:sz w:val="24"/>
          <w:szCs w:val="24"/>
        </w:rPr>
      </w:pPr>
      <w:r w:rsidRPr="002548D1">
        <w:rPr>
          <w:rFonts w:ascii="Arial" w:hAnsi="Arial" w:cs="Arial"/>
          <w:sz w:val="24"/>
          <w:szCs w:val="24"/>
        </w:rPr>
        <w:t xml:space="preserve">Capacity assessments may need to be supplemented by observation of </w:t>
      </w:r>
      <w:proofErr w:type="gramStart"/>
      <w:r w:rsidRPr="002548D1">
        <w:rPr>
          <w:rFonts w:ascii="Arial" w:hAnsi="Arial" w:cs="Arial"/>
          <w:sz w:val="24"/>
          <w:szCs w:val="24"/>
        </w:rPr>
        <w:t>real</w:t>
      </w:r>
      <w:r w:rsidR="162A8F53" w:rsidRPr="7A9FD7AE">
        <w:rPr>
          <w:rFonts w:ascii="Arial" w:hAnsi="Arial" w:cs="Arial"/>
          <w:sz w:val="24"/>
          <w:szCs w:val="24"/>
        </w:rPr>
        <w:t xml:space="preserve"> </w:t>
      </w:r>
      <w:r w:rsidRPr="002548D1">
        <w:rPr>
          <w:rFonts w:ascii="Arial" w:hAnsi="Arial" w:cs="Arial"/>
          <w:sz w:val="24"/>
          <w:szCs w:val="24"/>
        </w:rPr>
        <w:t>world</w:t>
      </w:r>
      <w:proofErr w:type="gramEnd"/>
      <w:r w:rsidRPr="002548D1">
        <w:rPr>
          <w:rFonts w:ascii="Arial" w:hAnsi="Arial" w:cs="Arial"/>
          <w:sz w:val="24"/>
          <w:szCs w:val="24"/>
        </w:rPr>
        <w:t xml:space="preserve"> decision</w:t>
      </w:r>
      <w:r w:rsidR="44897445" w:rsidRPr="7A9FD7AE">
        <w:rPr>
          <w:rFonts w:ascii="Arial" w:hAnsi="Arial" w:cs="Arial"/>
          <w:sz w:val="24"/>
          <w:szCs w:val="24"/>
        </w:rPr>
        <w:t xml:space="preserve"> </w:t>
      </w:r>
      <w:r w:rsidRPr="002548D1">
        <w:rPr>
          <w:rFonts w:ascii="Arial" w:hAnsi="Arial" w:cs="Arial"/>
          <w:sz w:val="24"/>
          <w:szCs w:val="24"/>
        </w:rPr>
        <w:t>making over time, particularly where risk is significant</w:t>
      </w:r>
    </w:p>
    <w:p w14:paraId="13C67F92" w14:textId="77777777" w:rsidR="002548D1" w:rsidRPr="002548D1" w:rsidRDefault="002548D1" w:rsidP="002548D1">
      <w:pPr>
        <w:numPr>
          <w:ilvl w:val="0"/>
          <w:numId w:val="6"/>
        </w:numPr>
        <w:rPr>
          <w:rFonts w:ascii="Arial" w:hAnsi="Arial" w:cs="Arial"/>
          <w:sz w:val="24"/>
          <w:szCs w:val="24"/>
        </w:rPr>
      </w:pPr>
      <w:r w:rsidRPr="002548D1">
        <w:rPr>
          <w:rFonts w:ascii="Arial" w:hAnsi="Arial" w:cs="Arial"/>
          <w:sz w:val="24"/>
          <w:szCs w:val="24"/>
        </w:rPr>
        <w:t>A single assessment may not provide a reliable picture where executive dysfunction is suspected</w:t>
      </w:r>
    </w:p>
    <w:p w14:paraId="4118C8AC" w14:textId="77777777" w:rsidR="002548D1" w:rsidRPr="002548D1" w:rsidRDefault="00000000" w:rsidP="002548D1">
      <w:pPr>
        <w:rPr>
          <w:rFonts w:ascii="Arial" w:hAnsi="Arial" w:cs="Arial"/>
          <w:sz w:val="24"/>
          <w:szCs w:val="24"/>
        </w:rPr>
      </w:pPr>
      <w:r>
        <w:rPr>
          <w:rFonts w:ascii="Arial" w:hAnsi="Arial" w:cs="Arial"/>
          <w:sz w:val="24"/>
          <w:szCs w:val="24"/>
        </w:rPr>
        <w:pict w14:anchorId="34141B2A">
          <v:rect id="_x0000_i1029" style="width:0;height:1.5pt" o:hralign="center" o:hrstd="t" o:hr="t" fillcolor="#a0a0a0" stroked="f"/>
        </w:pict>
      </w:r>
    </w:p>
    <w:p w14:paraId="6ED75702" w14:textId="77777777" w:rsidR="002548D1" w:rsidRPr="009F7468" w:rsidRDefault="002548D1" w:rsidP="002548D1">
      <w:pPr>
        <w:rPr>
          <w:rFonts w:ascii="Arial" w:hAnsi="Arial" w:cs="Arial"/>
          <w:b/>
          <w:bCs/>
          <w:sz w:val="28"/>
          <w:szCs w:val="28"/>
        </w:rPr>
      </w:pPr>
      <w:r w:rsidRPr="009F7468">
        <w:rPr>
          <w:rFonts w:ascii="Arial" w:hAnsi="Arial" w:cs="Arial"/>
          <w:b/>
          <w:bCs/>
          <w:sz w:val="28"/>
          <w:szCs w:val="28"/>
        </w:rPr>
        <w:t>4. Drug and alcohol use – why safeguarding risks are heightened</w:t>
      </w:r>
    </w:p>
    <w:p w14:paraId="5631D07A" w14:textId="77777777" w:rsidR="002548D1" w:rsidRPr="002548D1" w:rsidRDefault="002548D1" w:rsidP="002548D1">
      <w:pPr>
        <w:rPr>
          <w:rFonts w:ascii="Arial" w:hAnsi="Arial" w:cs="Arial"/>
          <w:b/>
          <w:bCs/>
          <w:sz w:val="24"/>
          <w:szCs w:val="24"/>
        </w:rPr>
      </w:pPr>
      <w:r w:rsidRPr="002548D1">
        <w:rPr>
          <w:rFonts w:ascii="Arial" w:hAnsi="Arial" w:cs="Arial"/>
          <w:b/>
          <w:bCs/>
          <w:sz w:val="24"/>
          <w:szCs w:val="24"/>
        </w:rPr>
        <w:lastRenderedPageBreak/>
        <w:t>Intoxication and dependency</w:t>
      </w:r>
    </w:p>
    <w:p w14:paraId="5017AFC3" w14:textId="77777777" w:rsidR="002548D1" w:rsidRPr="002548D1" w:rsidRDefault="002548D1" w:rsidP="002548D1">
      <w:pPr>
        <w:rPr>
          <w:rFonts w:ascii="Arial" w:hAnsi="Arial" w:cs="Arial"/>
          <w:sz w:val="24"/>
          <w:szCs w:val="24"/>
        </w:rPr>
      </w:pPr>
      <w:r w:rsidRPr="002548D1">
        <w:rPr>
          <w:rFonts w:ascii="Arial" w:hAnsi="Arial" w:cs="Arial"/>
          <w:sz w:val="24"/>
          <w:szCs w:val="24"/>
        </w:rPr>
        <w:t>Guidance is clear that:</w:t>
      </w:r>
    </w:p>
    <w:p w14:paraId="37BEA4B5" w14:textId="77777777" w:rsidR="002548D1" w:rsidRPr="002548D1" w:rsidRDefault="002548D1" w:rsidP="002548D1">
      <w:pPr>
        <w:numPr>
          <w:ilvl w:val="0"/>
          <w:numId w:val="7"/>
        </w:numPr>
        <w:rPr>
          <w:rFonts w:ascii="Arial" w:hAnsi="Arial" w:cs="Arial"/>
          <w:sz w:val="24"/>
          <w:szCs w:val="24"/>
        </w:rPr>
      </w:pPr>
      <w:r w:rsidRPr="002548D1">
        <w:rPr>
          <w:rFonts w:ascii="Arial" w:hAnsi="Arial" w:cs="Arial"/>
          <w:sz w:val="24"/>
          <w:szCs w:val="24"/>
        </w:rPr>
        <w:t>Intoxication alone does not automatically mean lack of capacity</w:t>
      </w:r>
    </w:p>
    <w:p w14:paraId="27C17791" w14:textId="77777777" w:rsidR="002548D1" w:rsidRPr="002548D1" w:rsidRDefault="002548D1" w:rsidP="002548D1">
      <w:pPr>
        <w:numPr>
          <w:ilvl w:val="0"/>
          <w:numId w:val="7"/>
        </w:numPr>
        <w:rPr>
          <w:rFonts w:ascii="Arial" w:hAnsi="Arial" w:cs="Arial"/>
          <w:sz w:val="24"/>
          <w:szCs w:val="24"/>
        </w:rPr>
      </w:pPr>
      <w:r w:rsidRPr="002548D1">
        <w:rPr>
          <w:rFonts w:ascii="Arial" w:hAnsi="Arial" w:cs="Arial"/>
          <w:sz w:val="24"/>
          <w:szCs w:val="24"/>
        </w:rPr>
        <w:t>However, drug and alcohol use can significantly complicate capacity assessments and safeguarding responses</w:t>
      </w:r>
    </w:p>
    <w:p w14:paraId="4414B7EA" w14:textId="77777777" w:rsidR="002548D1" w:rsidRPr="002548D1" w:rsidRDefault="002548D1" w:rsidP="002548D1">
      <w:pPr>
        <w:rPr>
          <w:rFonts w:ascii="Arial" w:hAnsi="Arial" w:cs="Arial"/>
          <w:sz w:val="24"/>
          <w:szCs w:val="24"/>
        </w:rPr>
      </w:pPr>
      <w:r w:rsidRPr="002548D1">
        <w:rPr>
          <w:rFonts w:ascii="Arial" w:hAnsi="Arial" w:cs="Arial"/>
          <w:sz w:val="24"/>
          <w:szCs w:val="24"/>
        </w:rPr>
        <w:t>Substance use may cause:</w:t>
      </w:r>
    </w:p>
    <w:p w14:paraId="69E0555C" w14:textId="77777777" w:rsidR="002548D1" w:rsidRPr="002548D1" w:rsidRDefault="002548D1" w:rsidP="002548D1">
      <w:pPr>
        <w:numPr>
          <w:ilvl w:val="0"/>
          <w:numId w:val="8"/>
        </w:numPr>
        <w:rPr>
          <w:rFonts w:ascii="Arial" w:hAnsi="Arial" w:cs="Arial"/>
          <w:sz w:val="24"/>
          <w:szCs w:val="24"/>
        </w:rPr>
      </w:pPr>
      <w:r w:rsidRPr="002548D1">
        <w:rPr>
          <w:rFonts w:ascii="Arial" w:hAnsi="Arial" w:cs="Arial"/>
          <w:sz w:val="24"/>
          <w:szCs w:val="24"/>
        </w:rPr>
        <w:t>Temporary impairment (e.g. acute intoxication or withdrawal)</w:t>
      </w:r>
    </w:p>
    <w:p w14:paraId="5E37A3F4" w14:textId="77777777" w:rsidR="002548D1" w:rsidRPr="002548D1" w:rsidRDefault="002548D1" w:rsidP="002548D1">
      <w:pPr>
        <w:numPr>
          <w:ilvl w:val="0"/>
          <w:numId w:val="8"/>
        </w:numPr>
        <w:rPr>
          <w:rFonts w:ascii="Arial" w:hAnsi="Arial" w:cs="Arial"/>
          <w:sz w:val="24"/>
          <w:szCs w:val="24"/>
        </w:rPr>
      </w:pPr>
      <w:r w:rsidRPr="002548D1">
        <w:rPr>
          <w:rFonts w:ascii="Arial" w:hAnsi="Arial" w:cs="Arial"/>
          <w:sz w:val="24"/>
          <w:szCs w:val="24"/>
        </w:rPr>
        <w:t>Fluctuating capacity linked to cycles of use</w:t>
      </w:r>
    </w:p>
    <w:p w14:paraId="1799B94F" w14:textId="77777777" w:rsidR="002548D1" w:rsidRPr="002548D1" w:rsidRDefault="002548D1" w:rsidP="002548D1">
      <w:pPr>
        <w:numPr>
          <w:ilvl w:val="0"/>
          <w:numId w:val="8"/>
        </w:numPr>
        <w:rPr>
          <w:rFonts w:ascii="Arial" w:hAnsi="Arial" w:cs="Arial"/>
          <w:sz w:val="24"/>
          <w:szCs w:val="24"/>
        </w:rPr>
      </w:pPr>
      <w:r w:rsidRPr="002548D1">
        <w:rPr>
          <w:rFonts w:ascii="Arial" w:hAnsi="Arial" w:cs="Arial"/>
          <w:sz w:val="24"/>
          <w:szCs w:val="24"/>
        </w:rPr>
        <w:t>Long</w:t>
      </w:r>
      <w:r w:rsidRPr="002548D1">
        <w:rPr>
          <w:rFonts w:ascii="Arial" w:hAnsi="Arial" w:cs="Arial"/>
          <w:sz w:val="24"/>
          <w:szCs w:val="24"/>
        </w:rPr>
        <w:noBreakHyphen/>
        <w:t xml:space="preserve">term executive dysfunction through: </w:t>
      </w:r>
    </w:p>
    <w:p w14:paraId="7F66D43A" w14:textId="49027FBD" w:rsidR="002548D1" w:rsidRPr="002548D1" w:rsidRDefault="002548D1" w:rsidP="002548D1">
      <w:pPr>
        <w:numPr>
          <w:ilvl w:val="1"/>
          <w:numId w:val="8"/>
        </w:numPr>
        <w:rPr>
          <w:rFonts w:ascii="Arial" w:hAnsi="Arial" w:cs="Arial"/>
          <w:sz w:val="24"/>
          <w:szCs w:val="24"/>
        </w:rPr>
      </w:pPr>
      <w:r w:rsidRPr="002548D1">
        <w:rPr>
          <w:rFonts w:ascii="Arial" w:hAnsi="Arial" w:cs="Arial"/>
          <w:sz w:val="24"/>
          <w:szCs w:val="24"/>
        </w:rPr>
        <w:t>Alcohol</w:t>
      </w:r>
      <w:r w:rsidR="40468592" w:rsidRPr="7A9FD7AE">
        <w:rPr>
          <w:rFonts w:ascii="Arial" w:hAnsi="Arial" w:cs="Arial"/>
          <w:sz w:val="24"/>
          <w:szCs w:val="24"/>
        </w:rPr>
        <w:t xml:space="preserve"> </w:t>
      </w:r>
      <w:r w:rsidRPr="002548D1">
        <w:rPr>
          <w:rFonts w:ascii="Arial" w:hAnsi="Arial" w:cs="Arial"/>
          <w:sz w:val="24"/>
          <w:szCs w:val="24"/>
        </w:rPr>
        <w:t>related brain damage (ARBD)</w:t>
      </w:r>
    </w:p>
    <w:p w14:paraId="26E8AEAE" w14:textId="77777777" w:rsidR="002548D1" w:rsidRPr="002548D1" w:rsidRDefault="002548D1" w:rsidP="002548D1">
      <w:pPr>
        <w:numPr>
          <w:ilvl w:val="1"/>
          <w:numId w:val="8"/>
        </w:numPr>
        <w:rPr>
          <w:rFonts w:ascii="Arial" w:hAnsi="Arial" w:cs="Arial"/>
          <w:sz w:val="24"/>
          <w:szCs w:val="24"/>
        </w:rPr>
      </w:pPr>
      <w:r w:rsidRPr="002548D1">
        <w:rPr>
          <w:rFonts w:ascii="Arial" w:hAnsi="Arial" w:cs="Arial"/>
          <w:sz w:val="24"/>
          <w:szCs w:val="24"/>
        </w:rPr>
        <w:t>Acquired brain injury</w:t>
      </w:r>
    </w:p>
    <w:p w14:paraId="47821B8F" w14:textId="77777777" w:rsidR="002548D1" w:rsidRPr="002548D1" w:rsidRDefault="002548D1" w:rsidP="002548D1">
      <w:pPr>
        <w:numPr>
          <w:ilvl w:val="1"/>
          <w:numId w:val="8"/>
        </w:numPr>
        <w:rPr>
          <w:rFonts w:ascii="Arial" w:hAnsi="Arial" w:cs="Arial"/>
          <w:sz w:val="24"/>
          <w:szCs w:val="24"/>
        </w:rPr>
      </w:pPr>
      <w:r w:rsidRPr="002548D1">
        <w:rPr>
          <w:rFonts w:ascii="Arial" w:hAnsi="Arial" w:cs="Arial"/>
          <w:sz w:val="24"/>
          <w:szCs w:val="24"/>
        </w:rPr>
        <w:t>Cognitive impairment affecting impulse control, planning, and risk appraisal</w:t>
      </w:r>
    </w:p>
    <w:p w14:paraId="65680853" w14:textId="77777777" w:rsidR="002548D1" w:rsidRPr="002548D1" w:rsidRDefault="002548D1" w:rsidP="002548D1">
      <w:pPr>
        <w:rPr>
          <w:rFonts w:ascii="Arial" w:hAnsi="Arial" w:cs="Arial"/>
          <w:b/>
          <w:bCs/>
          <w:sz w:val="24"/>
          <w:szCs w:val="24"/>
        </w:rPr>
      </w:pPr>
      <w:r w:rsidRPr="002548D1">
        <w:rPr>
          <w:rFonts w:ascii="Arial" w:hAnsi="Arial" w:cs="Arial"/>
          <w:b/>
          <w:bCs/>
          <w:sz w:val="24"/>
          <w:szCs w:val="24"/>
        </w:rPr>
        <w:t>Executive dysfunction commonly associated with substance misuse</w:t>
      </w:r>
    </w:p>
    <w:p w14:paraId="63144E03" w14:textId="77777777" w:rsidR="002548D1" w:rsidRPr="002548D1" w:rsidRDefault="002548D1" w:rsidP="002548D1">
      <w:pPr>
        <w:rPr>
          <w:rFonts w:ascii="Arial" w:hAnsi="Arial" w:cs="Arial"/>
          <w:sz w:val="24"/>
          <w:szCs w:val="24"/>
        </w:rPr>
      </w:pPr>
      <w:r w:rsidRPr="002548D1">
        <w:rPr>
          <w:rFonts w:ascii="Arial" w:hAnsi="Arial" w:cs="Arial"/>
          <w:sz w:val="24"/>
          <w:szCs w:val="24"/>
        </w:rPr>
        <w:t>Safeguarding and clinical guidance consistently highlights risks such as:</w:t>
      </w:r>
    </w:p>
    <w:p w14:paraId="1D01BE94" w14:textId="77777777" w:rsidR="002548D1" w:rsidRPr="002548D1" w:rsidRDefault="002548D1" w:rsidP="002548D1">
      <w:pPr>
        <w:numPr>
          <w:ilvl w:val="0"/>
          <w:numId w:val="9"/>
        </w:numPr>
        <w:rPr>
          <w:rFonts w:ascii="Arial" w:hAnsi="Arial" w:cs="Arial"/>
          <w:sz w:val="24"/>
          <w:szCs w:val="24"/>
        </w:rPr>
      </w:pPr>
      <w:r w:rsidRPr="002548D1">
        <w:rPr>
          <w:rFonts w:ascii="Arial" w:hAnsi="Arial" w:cs="Arial"/>
          <w:sz w:val="24"/>
          <w:szCs w:val="24"/>
        </w:rPr>
        <w:t>Poor impulse control</w:t>
      </w:r>
    </w:p>
    <w:p w14:paraId="66F90669" w14:textId="77777777" w:rsidR="002548D1" w:rsidRPr="002548D1" w:rsidRDefault="002548D1" w:rsidP="002548D1">
      <w:pPr>
        <w:numPr>
          <w:ilvl w:val="0"/>
          <w:numId w:val="9"/>
        </w:numPr>
        <w:rPr>
          <w:rFonts w:ascii="Arial" w:hAnsi="Arial" w:cs="Arial"/>
          <w:sz w:val="24"/>
          <w:szCs w:val="24"/>
        </w:rPr>
      </w:pPr>
      <w:r w:rsidRPr="002548D1">
        <w:rPr>
          <w:rFonts w:ascii="Arial" w:hAnsi="Arial" w:cs="Arial"/>
          <w:sz w:val="24"/>
          <w:szCs w:val="24"/>
        </w:rPr>
        <w:t>Difficulty initiating or sustaining protective actions</w:t>
      </w:r>
    </w:p>
    <w:p w14:paraId="7A77D164" w14:textId="0868E55F" w:rsidR="002548D1" w:rsidRPr="002548D1" w:rsidRDefault="002548D1" w:rsidP="002548D1">
      <w:pPr>
        <w:numPr>
          <w:ilvl w:val="0"/>
          <w:numId w:val="9"/>
        </w:numPr>
        <w:rPr>
          <w:rFonts w:ascii="Arial" w:hAnsi="Arial" w:cs="Arial"/>
          <w:sz w:val="24"/>
          <w:szCs w:val="24"/>
        </w:rPr>
      </w:pPr>
      <w:r w:rsidRPr="002548D1">
        <w:rPr>
          <w:rFonts w:ascii="Arial" w:hAnsi="Arial" w:cs="Arial"/>
          <w:sz w:val="24"/>
          <w:szCs w:val="24"/>
        </w:rPr>
        <w:t>Repeated high</w:t>
      </w:r>
      <w:r w:rsidR="76D5DE1A" w:rsidRPr="7A9FD7AE">
        <w:rPr>
          <w:rFonts w:ascii="Arial" w:hAnsi="Arial" w:cs="Arial"/>
          <w:sz w:val="24"/>
          <w:szCs w:val="24"/>
        </w:rPr>
        <w:t xml:space="preserve"> </w:t>
      </w:r>
      <w:r w:rsidRPr="002548D1">
        <w:rPr>
          <w:rFonts w:ascii="Arial" w:hAnsi="Arial" w:cs="Arial"/>
          <w:sz w:val="24"/>
          <w:szCs w:val="24"/>
        </w:rPr>
        <w:t>risk behaviour despite stated intentions</w:t>
      </w:r>
    </w:p>
    <w:p w14:paraId="61A8F511" w14:textId="73336D66" w:rsidR="002548D1" w:rsidRPr="002548D1" w:rsidRDefault="002548D1" w:rsidP="002548D1">
      <w:pPr>
        <w:numPr>
          <w:ilvl w:val="0"/>
          <w:numId w:val="9"/>
        </w:numPr>
        <w:rPr>
          <w:rFonts w:ascii="Arial" w:hAnsi="Arial" w:cs="Arial"/>
          <w:sz w:val="24"/>
          <w:szCs w:val="24"/>
        </w:rPr>
      </w:pPr>
      <w:r w:rsidRPr="002548D1">
        <w:rPr>
          <w:rFonts w:ascii="Arial" w:hAnsi="Arial" w:cs="Arial"/>
          <w:sz w:val="24"/>
          <w:szCs w:val="24"/>
        </w:rPr>
        <w:t>Limited ability to learn from harm or near</w:t>
      </w:r>
      <w:r w:rsidR="1F7D6928" w:rsidRPr="7A9FD7AE">
        <w:rPr>
          <w:rFonts w:ascii="Arial" w:hAnsi="Arial" w:cs="Arial"/>
          <w:sz w:val="24"/>
          <w:szCs w:val="24"/>
        </w:rPr>
        <w:t xml:space="preserve"> </w:t>
      </w:r>
      <w:r w:rsidRPr="002548D1">
        <w:rPr>
          <w:rFonts w:ascii="Arial" w:hAnsi="Arial" w:cs="Arial"/>
          <w:sz w:val="24"/>
          <w:szCs w:val="24"/>
        </w:rPr>
        <w:t>misses</w:t>
      </w:r>
    </w:p>
    <w:p w14:paraId="29CE843D" w14:textId="77777777" w:rsidR="002548D1" w:rsidRPr="002548D1" w:rsidRDefault="002548D1" w:rsidP="002548D1">
      <w:pPr>
        <w:numPr>
          <w:ilvl w:val="0"/>
          <w:numId w:val="9"/>
        </w:numPr>
        <w:rPr>
          <w:rFonts w:ascii="Arial" w:hAnsi="Arial" w:cs="Arial"/>
          <w:sz w:val="24"/>
          <w:szCs w:val="24"/>
        </w:rPr>
      </w:pPr>
      <w:r w:rsidRPr="002548D1">
        <w:rPr>
          <w:rFonts w:ascii="Arial" w:hAnsi="Arial" w:cs="Arial"/>
          <w:sz w:val="24"/>
          <w:szCs w:val="24"/>
        </w:rPr>
        <w:t>Disconnection between expressed decisions and lived behaviour</w:t>
      </w:r>
    </w:p>
    <w:p w14:paraId="72B3E3AF" w14:textId="77777777" w:rsidR="002548D1" w:rsidRPr="002548D1" w:rsidRDefault="002548D1" w:rsidP="002548D1">
      <w:pPr>
        <w:rPr>
          <w:rFonts w:ascii="Arial" w:hAnsi="Arial" w:cs="Arial"/>
          <w:sz w:val="24"/>
          <w:szCs w:val="24"/>
        </w:rPr>
      </w:pPr>
      <w:r w:rsidRPr="002548D1">
        <w:rPr>
          <w:rFonts w:ascii="Arial" w:hAnsi="Arial" w:cs="Arial"/>
          <w:sz w:val="24"/>
          <w:szCs w:val="24"/>
        </w:rPr>
        <w:t>These factors are particularly relevant in cases involving:</w:t>
      </w:r>
    </w:p>
    <w:p w14:paraId="7A32B45F" w14:textId="1F661161" w:rsidR="002548D1" w:rsidRPr="002548D1" w:rsidRDefault="002548D1" w:rsidP="002548D1">
      <w:pPr>
        <w:numPr>
          <w:ilvl w:val="0"/>
          <w:numId w:val="10"/>
        </w:numPr>
        <w:rPr>
          <w:rFonts w:ascii="Arial" w:hAnsi="Arial" w:cs="Arial"/>
          <w:sz w:val="24"/>
          <w:szCs w:val="24"/>
        </w:rPr>
      </w:pPr>
      <w:proofErr w:type="spellStart"/>
      <w:r w:rsidRPr="002548D1">
        <w:rPr>
          <w:rFonts w:ascii="Arial" w:hAnsi="Arial" w:cs="Arial"/>
          <w:sz w:val="24"/>
          <w:szCs w:val="24"/>
        </w:rPr>
        <w:t>Self</w:t>
      </w:r>
      <w:r w:rsidR="2A70E883" w:rsidRPr="7A9FD7AE">
        <w:rPr>
          <w:rFonts w:ascii="Arial" w:hAnsi="Arial" w:cs="Arial"/>
          <w:sz w:val="24"/>
          <w:szCs w:val="24"/>
        </w:rPr>
        <w:t xml:space="preserve"> </w:t>
      </w:r>
      <w:r w:rsidRPr="002548D1">
        <w:rPr>
          <w:rFonts w:ascii="Arial" w:hAnsi="Arial" w:cs="Arial"/>
          <w:sz w:val="24"/>
          <w:szCs w:val="24"/>
        </w:rPr>
        <w:t>neglect</w:t>
      </w:r>
      <w:proofErr w:type="spellEnd"/>
    </w:p>
    <w:p w14:paraId="063E8DD6" w14:textId="77777777" w:rsidR="002548D1" w:rsidRPr="002548D1" w:rsidRDefault="002548D1" w:rsidP="002548D1">
      <w:pPr>
        <w:numPr>
          <w:ilvl w:val="0"/>
          <w:numId w:val="10"/>
        </w:numPr>
        <w:rPr>
          <w:rFonts w:ascii="Arial" w:hAnsi="Arial" w:cs="Arial"/>
          <w:sz w:val="24"/>
          <w:szCs w:val="24"/>
        </w:rPr>
      </w:pPr>
      <w:r w:rsidRPr="002548D1">
        <w:rPr>
          <w:rFonts w:ascii="Arial" w:hAnsi="Arial" w:cs="Arial"/>
          <w:sz w:val="24"/>
          <w:szCs w:val="24"/>
        </w:rPr>
        <w:t>Exploitation and abuse</w:t>
      </w:r>
    </w:p>
    <w:p w14:paraId="28D3FED2" w14:textId="77777777" w:rsidR="002548D1" w:rsidRPr="002548D1" w:rsidRDefault="002548D1" w:rsidP="002548D1">
      <w:pPr>
        <w:numPr>
          <w:ilvl w:val="0"/>
          <w:numId w:val="10"/>
        </w:numPr>
        <w:rPr>
          <w:rFonts w:ascii="Arial" w:hAnsi="Arial" w:cs="Arial"/>
          <w:sz w:val="24"/>
          <w:szCs w:val="24"/>
        </w:rPr>
      </w:pPr>
      <w:r w:rsidRPr="002548D1">
        <w:rPr>
          <w:rFonts w:ascii="Arial" w:hAnsi="Arial" w:cs="Arial"/>
          <w:sz w:val="24"/>
          <w:szCs w:val="24"/>
        </w:rPr>
        <w:t>Domestic abuse</w:t>
      </w:r>
    </w:p>
    <w:p w14:paraId="67E37AFB" w14:textId="77777777" w:rsidR="002548D1" w:rsidRPr="002548D1" w:rsidRDefault="002548D1" w:rsidP="002548D1">
      <w:pPr>
        <w:numPr>
          <w:ilvl w:val="0"/>
          <w:numId w:val="10"/>
        </w:numPr>
        <w:rPr>
          <w:rFonts w:ascii="Arial" w:hAnsi="Arial" w:cs="Arial"/>
          <w:sz w:val="24"/>
          <w:szCs w:val="24"/>
        </w:rPr>
      </w:pPr>
      <w:r w:rsidRPr="002548D1">
        <w:rPr>
          <w:rFonts w:ascii="Arial" w:hAnsi="Arial" w:cs="Arial"/>
          <w:sz w:val="24"/>
          <w:szCs w:val="24"/>
        </w:rPr>
        <w:t>Homelessness and repeated crises</w:t>
      </w:r>
    </w:p>
    <w:p w14:paraId="1CF1CDF8" w14:textId="77777777" w:rsidR="002548D1" w:rsidRPr="002548D1" w:rsidRDefault="002548D1" w:rsidP="002548D1">
      <w:pPr>
        <w:numPr>
          <w:ilvl w:val="0"/>
          <w:numId w:val="10"/>
        </w:numPr>
        <w:rPr>
          <w:rFonts w:ascii="Arial" w:hAnsi="Arial" w:cs="Arial"/>
          <w:sz w:val="24"/>
          <w:szCs w:val="24"/>
        </w:rPr>
      </w:pPr>
      <w:r w:rsidRPr="002548D1">
        <w:rPr>
          <w:rFonts w:ascii="Arial" w:hAnsi="Arial" w:cs="Arial"/>
          <w:sz w:val="24"/>
          <w:szCs w:val="24"/>
        </w:rPr>
        <w:t>Frequent safeguarding referrals without sustained change</w:t>
      </w:r>
    </w:p>
    <w:p w14:paraId="03777452" w14:textId="77777777" w:rsidR="002548D1" w:rsidRPr="002548D1" w:rsidRDefault="00000000" w:rsidP="002548D1">
      <w:pPr>
        <w:rPr>
          <w:rFonts w:ascii="Arial" w:hAnsi="Arial" w:cs="Arial"/>
          <w:sz w:val="24"/>
          <w:szCs w:val="24"/>
        </w:rPr>
      </w:pPr>
      <w:r>
        <w:rPr>
          <w:rFonts w:ascii="Arial" w:hAnsi="Arial" w:cs="Arial"/>
          <w:sz w:val="24"/>
          <w:szCs w:val="24"/>
        </w:rPr>
        <w:pict w14:anchorId="0262F141">
          <v:rect id="_x0000_i1030" style="width:0;height:1.5pt" o:hralign="center" o:hrstd="t" o:hr="t" fillcolor="#a0a0a0" stroked="f"/>
        </w:pict>
      </w:r>
    </w:p>
    <w:p w14:paraId="18B61D5F" w14:textId="77777777" w:rsidR="002548D1" w:rsidRPr="009F7468" w:rsidRDefault="002548D1" w:rsidP="002548D1">
      <w:pPr>
        <w:rPr>
          <w:rFonts w:ascii="Arial" w:hAnsi="Arial" w:cs="Arial"/>
          <w:b/>
          <w:bCs/>
          <w:sz w:val="28"/>
          <w:szCs w:val="28"/>
        </w:rPr>
      </w:pPr>
      <w:r w:rsidRPr="009F7468">
        <w:rPr>
          <w:rFonts w:ascii="Arial" w:hAnsi="Arial" w:cs="Arial"/>
          <w:b/>
          <w:bCs/>
          <w:sz w:val="28"/>
          <w:szCs w:val="28"/>
        </w:rPr>
        <w:t>5. Unwise decisions vs impaired executive capacity</w:t>
      </w:r>
    </w:p>
    <w:p w14:paraId="1D91861A" w14:textId="77777777" w:rsidR="002548D1" w:rsidRPr="002548D1" w:rsidRDefault="002548D1" w:rsidP="002548D1">
      <w:pPr>
        <w:rPr>
          <w:rFonts w:ascii="Arial" w:hAnsi="Arial" w:cs="Arial"/>
          <w:sz w:val="24"/>
          <w:szCs w:val="24"/>
        </w:rPr>
      </w:pPr>
      <w:r w:rsidRPr="002548D1">
        <w:rPr>
          <w:rFonts w:ascii="Arial" w:hAnsi="Arial" w:cs="Arial"/>
          <w:sz w:val="24"/>
          <w:szCs w:val="24"/>
        </w:rPr>
        <w:t>The MCA principle remains clear:</w:t>
      </w:r>
    </w:p>
    <w:p w14:paraId="72D25CF2" w14:textId="77777777" w:rsidR="002548D1" w:rsidRPr="002548D1" w:rsidRDefault="002548D1" w:rsidP="002548D1">
      <w:pPr>
        <w:rPr>
          <w:rFonts w:ascii="Arial" w:hAnsi="Arial" w:cs="Arial"/>
          <w:sz w:val="24"/>
          <w:szCs w:val="24"/>
        </w:rPr>
      </w:pPr>
      <w:r w:rsidRPr="002548D1">
        <w:rPr>
          <w:rFonts w:ascii="Arial" w:hAnsi="Arial" w:cs="Arial"/>
          <w:i/>
          <w:iCs/>
          <w:sz w:val="24"/>
          <w:szCs w:val="24"/>
        </w:rPr>
        <w:t xml:space="preserve">A person is not to be treated as unable to </w:t>
      </w:r>
      <w:proofErr w:type="gramStart"/>
      <w:r w:rsidRPr="002548D1">
        <w:rPr>
          <w:rFonts w:ascii="Arial" w:hAnsi="Arial" w:cs="Arial"/>
          <w:i/>
          <w:iCs/>
          <w:sz w:val="24"/>
          <w:szCs w:val="24"/>
        </w:rPr>
        <w:t>make a decision</w:t>
      </w:r>
      <w:proofErr w:type="gramEnd"/>
      <w:r w:rsidRPr="002548D1">
        <w:rPr>
          <w:rFonts w:ascii="Arial" w:hAnsi="Arial" w:cs="Arial"/>
          <w:i/>
          <w:iCs/>
          <w:sz w:val="24"/>
          <w:szCs w:val="24"/>
        </w:rPr>
        <w:t xml:space="preserve"> merely because they make an unwise decision.</w:t>
      </w:r>
    </w:p>
    <w:p w14:paraId="0B44B763" w14:textId="1F47EDDA" w:rsidR="002548D1" w:rsidRPr="002548D1" w:rsidRDefault="002548D1" w:rsidP="002548D1">
      <w:pPr>
        <w:rPr>
          <w:rFonts w:ascii="Arial" w:hAnsi="Arial" w:cs="Arial"/>
          <w:sz w:val="24"/>
          <w:szCs w:val="24"/>
        </w:rPr>
      </w:pPr>
      <w:r w:rsidRPr="002548D1">
        <w:rPr>
          <w:rFonts w:ascii="Arial" w:hAnsi="Arial" w:cs="Arial"/>
          <w:sz w:val="24"/>
          <w:szCs w:val="24"/>
        </w:rPr>
        <w:lastRenderedPageBreak/>
        <w:t xml:space="preserve">However, safeguarding </w:t>
      </w:r>
      <w:r w:rsidR="00873318">
        <w:rPr>
          <w:rFonts w:ascii="Arial" w:hAnsi="Arial" w:cs="Arial"/>
          <w:sz w:val="24"/>
          <w:szCs w:val="24"/>
        </w:rPr>
        <w:t xml:space="preserve">adult </w:t>
      </w:r>
      <w:r w:rsidRPr="002548D1">
        <w:rPr>
          <w:rFonts w:ascii="Arial" w:hAnsi="Arial" w:cs="Arial"/>
          <w:sz w:val="24"/>
          <w:szCs w:val="24"/>
        </w:rPr>
        <w:t>boards and the courts have clarified that:</w:t>
      </w:r>
    </w:p>
    <w:p w14:paraId="29D919D3" w14:textId="08858DCD" w:rsidR="002548D1" w:rsidRPr="002E1F4C" w:rsidRDefault="002548D1" w:rsidP="002548D1">
      <w:pPr>
        <w:numPr>
          <w:ilvl w:val="0"/>
          <w:numId w:val="11"/>
        </w:numPr>
        <w:rPr>
          <w:rFonts w:ascii="Arial" w:hAnsi="Arial" w:cs="Arial"/>
          <w:sz w:val="24"/>
          <w:szCs w:val="24"/>
        </w:rPr>
      </w:pPr>
      <w:r w:rsidRPr="002E1F4C">
        <w:rPr>
          <w:rFonts w:ascii="Arial" w:hAnsi="Arial" w:cs="Arial"/>
          <w:sz w:val="24"/>
          <w:szCs w:val="24"/>
        </w:rPr>
        <w:t>A pattern of repeated unwise decisions, especially where risks are escalating</w:t>
      </w:r>
      <w:r w:rsidR="002E1F4C" w:rsidRPr="002E1F4C">
        <w:rPr>
          <w:rFonts w:ascii="Arial" w:hAnsi="Arial" w:cs="Arial"/>
          <w:sz w:val="24"/>
          <w:szCs w:val="24"/>
        </w:rPr>
        <w:t xml:space="preserve">, </w:t>
      </w:r>
      <w:r w:rsidR="002E1F4C">
        <w:rPr>
          <w:rFonts w:ascii="Arial" w:hAnsi="Arial" w:cs="Arial"/>
          <w:sz w:val="24"/>
          <w:szCs w:val="24"/>
        </w:rPr>
        <w:t>m</w:t>
      </w:r>
      <w:r w:rsidRPr="002E1F4C">
        <w:rPr>
          <w:rFonts w:ascii="Arial" w:hAnsi="Arial" w:cs="Arial"/>
          <w:sz w:val="24"/>
          <w:szCs w:val="24"/>
        </w:rPr>
        <w:t>ay indicate an inability to use or weigh information</w:t>
      </w:r>
    </w:p>
    <w:p w14:paraId="08C07FDC" w14:textId="77777777" w:rsidR="002548D1" w:rsidRPr="002548D1" w:rsidRDefault="002548D1" w:rsidP="002548D1">
      <w:pPr>
        <w:numPr>
          <w:ilvl w:val="0"/>
          <w:numId w:val="11"/>
        </w:numPr>
        <w:rPr>
          <w:rFonts w:ascii="Arial" w:hAnsi="Arial" w:cs="Arial"/>
          <w:sz w:val="24"/>
          <w:szCs w:val="24"/>
        </w:rPr>
      </w:pPr>
      <w:r w:rsidRPr="002548D1">
        <w:rPr>
          <w:rFonts w:ascii="Arial" w:hAnsi="Arial" w:cs="Arial"/>
          <w:sz w:val="24"/>
          <w:szCs w:val="24"/>
        </w:rPr>
        <w:t>Where behaviour is driven by impaired executive functioning rather than free and informed choice</w:t>
      </w:r>
    </w:p>
    <w:p w14:paraId="5BF5C3FB" w14:textId="213B997D" w:rsidR="002548D1" w:rsidRPr="002548D1" w:rsidRDefault="002548D1" w:rsidP="002548D1">
      <w:pPr>
        <w:rPr>
          <w:rFonts w:ascii="Arial" w:hAnsi="Arial" w:cs="Arial"/>
          <w:sz w:val="24"/>
          <w:szCs w:val="24"/>
        </w:rPr>
      </w:pPr>
      <w:r w:rsidRPr="002548D1">
        <w:rPr>
          <w:rFonts w:ascii="Arial" w:hAnsi="Arial" w:cs="Arial"/>
          <w:sz w:val="24"/>
          <w:szCs w:val="24"/>
        </w:rPr>
        <w:t>In substance</w:t>
      </w:r>
      <w:r w:rsidR="2D2920CD" w:rsidRPr="7A9FD7AE">
        <w:rPr>
          <w:rFonts w:ascii="Arial" w:hAnsi="Arial" w:cs="Arial"/>
          <w:sz w:val="24"/>
          <w:szCs w:val="24"/>
        </w:rPr>
        <w:t xml:space="preserve"> </w:t>
      </w:r>
      <w:r w:rsidRPr="002548D1">
        <w:rPr>
          <w:rFonts w:ascii="Arial" w:hAnsi="Arial" w:cs="Arial"/>
          <w:sz w:val="24"/>
          <w:szCs w:val="24"/>
        </w:rPr>
        <w:t>related cases, it is essential that:</w:t>
      </w:r>
    </w:p>
    <w:p w14:paraId="7E6C62B3" w14:textId="77777777" w:rsidR="002548D1" w:rsidRPr="002548D1" w:rsidRDefault="002548D1" w:rsidP="002548D1">
      <w:pPr>
        <w:numPr>
          <w:ilvl w:val="0"/>
          <w:numId w:val="12"/>
        </w:numPr>
        <w:rPr>
          <w:rFonts w:ascii="Arial" w:hAnsi="Arial" w:cs="Arial"/>
          <w:sz w:val="24"/>
          <w:szCs w:val="24"/>
        </w:rPr>
      </w:pPr>
      <w:r w:rsidRPr="002548D1">
        <w:rPr>
          <w:rFonts w:ascii="Arial" w:hAnsi="Arial" w:cs="Arial"/>
          <w:sz w:val="24"/>
          <w:szCs w:val="24"/>
        </w:rPr>
        <w:t>“Lifestyle choice” is not used as a default explanation</w:t>
      </w:r>
    </w:p>
    <w:p w14:paraId="22824DBC" w14:textId="21BD9A60" w:rsidR="004A4FCF" w:rsidRDefault="002548D1" w:rsidP="004A4FCF">
      <w:pPr>
        <w:numPr>
          <w:ilvl w:val="0"/>
          <w:numId w:val="12"/>
        </w:numPr>
        <w:rPr>
          <w:rFonts w:ascii="Arial" w:hAnsi="Arial" w:cs="Arial"/>
          <w:sz w:val="24"/>
          <w:szCs w:val="24"/>
        </w:rPr>
      </w:pPr>
      <w:r w:rsidRPr="002548D1">
        <w:rPr>
          <w:rFonts w:ascii="Arial" w:hAnsi="Arial" w:cs="Arial"/>
          <w:sz w:val="24"/>
          <w:szCs w:val="24"/>
        </w:rPr>
        <w:t>Practitioners consider whether apparent choice is undermined by dependency, impulsivity, cognitive impairment, trauma, coercion, or fear</w:t>
      </w:r>
      <w:r w:rsidR="004A4FCF">
        <w:rPr>
          <w:rFonts w:ascii="Arial" w:hAnsi="Arial" w:cs="Arial"/>
          <w:sz w:val="24"/>
          <w:szCs w:val="24"/>
        </w:rPr>
        <w:t>.</w:t>
      </w:r>
    </w:p>
    <w:p w14:paraId="59A260E6" w14:textId="60716719" w:rsidR="004A4FCF" w:rsidRPr="004A4FCF" w:rsidRDefault="004A4FCF" w:rsidP="004A4FCF">
      <w:pPr>
        <w:spacing w:after="0" w:line="300" w:lineRule="atLeast"/>
        <w:rPr>
          <w:rFonts w:ascii="Arial" w:eastAsia="Times New Roman" w:hAnsi="Arial" w:cs="Arial"/>
          <w:kern w:val="0"/>
          <w:sz w:val="24"/>
          <w:szCs w:val="24"/>
          <w:lang w:eastAsia="en-GB"/>
          <w14:ligatures w14:val="none"/>
        </w:rPr>
      </w:pPr>
      <w:r w:rsidRPr="004A4FCF">
        <w:rPr>
          <w:rFonts w:ascii="Arial" w:eastAsia="Times New Roman" w:hAnsi="Arial" w:cs="Arial"/>
          <w:kern w:val="0"/>
          <w:sz w:val="24"/>
          <w:szCs w:val="24"/>
          <w:lang w:eastAsia="en-GB"/>
          <w14:ligatures w14:val="none"/>
        </w:rPr>
        <w:t>Repeated unwise decisions alone do not establish lack of capacity; practitioners must evidence how any inability to use or weigh information is causally linked to an impairment or disturbance of the mind or brain.</w:t>
      </w:r>
    </w:p>
    <w:p w14:paraId="46DC678F" w14:textId="77777777" w:rsidR="002548D1" w:rsidRPr="002548D1" w:rsidRDefault="00000000" w:rsidP="002548D1">
      <w:pPr>
        <w:rPr>
          <w:rFonts w:ascii="Arial" w:hAnsi="Arial" w:cs="Arial"/>
          <w:sz w:val="24"/>
          <w:szCs w:val="24"/>
        </w:rPr>
      </w:pPr>
      <w:r>
        <w:rPr>
          <w:rFonts w:ascii="Arial" w:hAnsi="Arial" w:cs="Arial"/>
          <w:sz w:val="24"/>
          <w:szCs w:val="24"/>
        </w:rPr>
        <w:pict w14:anchorId="28CDF9AC">
          <v:rect id="_x0000_i1031" style="width:0;height:1.5pt" o:hralign="center" o:hrstd="t" o:hr="t" fillcolor="#a0a0a0" stroked="f"/>
        </w:pict>
      </w:r>
    </w:p>
    <w:p w14:paraId="107DA96D" w14:textId="77777777" w:rsidR="002548D1" w:rsidRPr="00873318" w:rsidRDefault="002548D1" w:rsidP="002548D1">
      <w:pPr>
        <w:rPr>
          <w:rFonts w:ascii="Arial" w:hAnsi="Arial" w:cs="Arial"/>
          <w:b/>
          <w:bCs/>
          <w:sz w:val="28"/>
          <w:szCs w:val="28"/>
        </w:rPr>
      </w:pPr>
      <w:r w:rsidRPr="00873318">
        <w:rPr>
          <w:rFonts w:ascii="Arial" w:hAnsi="Arial" w:cs="Arial"/>
          <w:b/>
          <w:bCs/>
          <w:sz w:val="28"/>
          <w:szCs w:val="28"/>
        </w:rPr>
        <w:t>6. Learning from Safeguarding Adult Reviews (SARs)</w:t>
      </w:r>
    </w:p>
    <w:p w14:paraId="3FD97139" w14:textId="77777777" w:rsidR="002548D1" w:rsidRPr="002548D1" w:rsidRDefault="002548D1" w:rsidP="002548D1">
      <w:pPr>
        <w:rPr>
          <w:rFonts w:ascii="Arial" w:hAnsi="Arial" w:cs="Arial"/>
          <w:sz w:val="24"/>
          <w:szCs w:val="24"/>
        </w:rPr>
      </w:pPr>
      <w:r w:rsidRPr="002548D1">
        <w:rPr>
          <w:rFonts w:ascii="Arial" w:hAnsi="Arial" w:cs="Arial"/>
          <w:sz w:val="24"/>
          <w:szCs w:val="24"/>
        </w:rPr>
        <w:t>Executive functioning difficulties feature increasingly in SAR findings, with recurring themes including:</w:t>
      </w:r>
    </w:p>
    <w:p w14:paraId="13D95B25" w14:textId="77777777" w:rsidR="002548D1" w:rsidRPr="002548D1" w:rsidRDefault="002548D1" w:rsidP="002548D1">
      <w:pPr>
        <w:numPr>
          <w:ilvl w:val="0"/>
          <w:numId w:val="13"/>
        </w:numPr>
        <w:rPr>
          <w:rFonts w:ascii="Arial" w:hAnsi="Arial" w:cs="Arial"/>
          <w:sz w:val="24"/>
          <w:szCs w:val="24"/>
        </w:rPr>
      </w:pPr>
      <w:r w:rsidRPr="002548D1">
        <w:rPr>
          <w:rFonts w:ascii="Arial" w:hAnsi="Arial" w:cs="Arial"/>
          <w:sz w:val="24"/>
          <w:szCs w:val="24"/>
        </w:rPr>
        <w:t>Over</w:t>
      </w:r>
      <w:r w:rsidRPr="002548D1">
        <w:rPr>
          <w:rFonts w:ascii="Arial" w:hAnsi="Arial" w:cs="Arial"/>
          <w:sz w:val="24"/>
          <w:szCs w:val="24"/>
        </w:rPr>
        <w:noBreakHyphen/>
        <w:t>reliance on verbal accounts of understanding</w:t>
      </w:r>
    </w:p>
    <w:p w14:paraId="148A6034" w14:textId="77777777" w:rsidR="002548D1" w:rsidRPr="002548D1" w:rsidRDefault="002548D1" w:rsidP="002548D1">
      <w:pPr>
        <w:numPr>
          <w:ilvl w:val="0"/>
          <w:numId w:val="13"/>
        </w:numPr>
        <w:rPr>
          <w:rFonts w:ascii="Arial" w:hAnsi="Arial" w:cs="Arial"/>
          <w:sz w:val="24"/>
          <w:szCs w:val="24"/>
        </w:rPr>
      </w:pPr>
      <w:r w:rsidRPr="002548D1">
        <w:rPr>
          <w:rFonts w:ascii="Arial" w:hAnsi="Arial" w:cs="Arial"/>
          <w:sz w:val="24"/>
          <w:szCs w:val="24"/>
        </w:rPr>
        <w:t>Insufficient attention to behaviour over time</w:t>
      </w:r>
    </w:p>
    <w:p w14:paraId="1B99627D" w14:textId="434F7A02" w:rsidR="002548D1" w:rsidRPr="002548D1" w:rsidRDefault="002548D1" w:rsidP="002548D1">
      <w:pPr>
        <w:numPr>
          <w:ilvl w:val="0"/>
          <w:numId w:val="13"/>
        </w:numPr>
        <w:rPr>
          <w:rFonts w:ascii="Arial" w:hAnsi="Arial" w:cs="Arial"/>
          <w:sz w:val="24"/>
          <w:szCs w:val="24"/>
        </w:rPr>
      </w:pPr>
      <w:r w:rsidRPr="002548D1">
        <w:rPr>
          <w:rFonts w:ascii="Arial" w:hAnsi="Arial" w:cs="Arial"/>
          <w:sz w:val="24"/>
          <w:szCs w:val="24"/>
        </w:rPr>
        <w:t>Fragmented single</w:t>
      </w:r>
      <w:r w:rsidR="350ACD59" w:rsidRPr="7A9FD7AE">
        <w:rPr>
          <w:rFonts w:ascii="Arial" w:hAnsi="Arial" w:cs="Arial"/>
          <w:sz w:val="24"/>
          <w:szCs w:val="24"/>
        </w:rPr>
        <w:t xml:space="preserve"> </w:t>
      </w:r>
      <w:r w:rsidRPr="002548D1">
        <w:rPr>
          <w:rFonts w:ascii="Arial" w:hAnsi="Arial" w:cs="Arial"/>
          <w:sz w:val="24"/>
          <w:szCs w:val="24"/>
        </w:rPr>
        <w:t>agency capacity assessments</w:t>
      </w:r>
    </w:p>
    <w:p w14:paraId="666426B5" w14:textId="77777777" w:rsidR="002548D1" w:rsidRPr="002548D1" w:rsidRDefault="002548D1" w:rsidP="002548D1">
      <w:pPr>
        <w:numPr>
          <w:ilvl w:val="0"/>
          <w:numId w:val="13"/>
        </w:numPr>
        <w:rPr>
          <w:rFonts w:ascii="Arial" w:hAnsi="Arial" w:cs="Arial"/>
          <w:sz w:val="24"/>
          <w:szCs w:val="24"/>
        </w:rPr>
      </w:pPr>
      <w:r w:rsidRPr="002548D1">
        <w:rPr>
          <w:rFonts w:ascii="Arial" w:hAnsi="Arial" w:cs="Arial"/>
          <w:sz w:val="24"/>
          <w:szCs w:val="24"/>
        </w:rPr>
        <w:t>Lack of professional challenge when risk escalates</w:t>
      </w:r>
    </w:p>
    <w:p w14:paraId="2B2DCAAB" w14:textId="77777777" w:rsidR="002548D1" w:rsidRPr="002548D1" w:rsidRDefault="002548D1" w:rsidP="002548D1">
      <w:pPr>
        <w:numPr>
          <w:ilvl w:val="0"/>
          <w:numId w:val="13"/>
        </w:numPr>
        <w:rPr>
          <w:rFonts w:ascii="Arial" w:hAnsi="Arial" w:cs="Arial"/>
          <w:sz w:val="24"/>
          <w:szCs w:val="24"/>
        </w:rPr>
      </w:pPr>
      <w:r w:rsidRPr="002548D1">
        <w:rPr>
          <w:rFonts w:ascii="Arial" w:hAnsi="Arial" w:cs="Arial"/>
          <w:sz w:val="24"/>
          <w:szCs w:val="24"/>
        </w:rPr>
        <w:t>Failure to revisit capacity when circumstances change</w:t>
      </w:r>
    </w:p>
    <w:p w14:paraId="16C4BE97" w14:textId="77777777" w:rsidR="002548D1" w:rsidRPr="002548D1" w:rsidRDefault="002548D1" w:rsidP="002548D1">
      <w:pPr>
        <w:rPr>
          <w:rFonts w:ascii="Arial" w:hAnsi="Arial" w:cs="Arial"/>
          <w:sz w:val="24"/>
          <w:szCs w:val="24"/>
        </w:rPr>
      </w:pPr>
      <w:r w:rsidRPr="002548D1">
        <w:rPr>
          <w:rFonts w:ascii="Arial" w:hAnsi="Arial" w:cs="Arial"/>
          <w:sz w:val="24"/>
          <w:szCs w:val="24"/>
        </w:rPr>
        <w:t>SAR learning consistently highlights the need for:</w:t>
      </w:r>
    </w:p>
    <w:p w14:paraId="14D070BD" w14:textId="77777777" w:rsidR="002548D1" w:rsidRPr="002548D1" w:rsidRDefault="002548D1" w:rsidP="002548D1">
      <w:pPr>
        <w:numPr>
          <w:ilvl w:val="0"/>
          <w:numId w:val="14"/>
        </w:numPr>
        <w:rPr>
          <w:rFonts w:ascii="Arial" w:hAnsi="Arial" w:cs="Arial"/>
          <w:sz w:val="24"/>
          <w:szCs w:val="24"/>
        </w:rPr>
      </w:pPr>
      <w:r w:rsidRPr="002548D1">
        <w:rPr>
          <w:rFonts w:ascii="Arial" w:hAnsi="Arial" w:cs="Arial"/>
          <w:sz w:val="24"/>
          <w:szCs w:val="24"/>
        </w:rPr>
        <w:t>Greater professional curiosity</w:t>
      </w:r>
    </w:p>
    <w:p w14:paraId="1B81B9E3" w14:textId="77777777" w:rsidR="002548D1" w:rsidRPr="002548D1" w:rsidRDefault="002548D1" w:rsidP="002548D1">
      <w:pPr>
        <w:numPr>
          <w:ilvl w:val="0"/>
          <w:numId w:val="14"/>
        </w:numPr>
        <w:rPr>
          <w:rFonts w:ascii="Arial" w:hAnsi="Arial" w:cs="Arial"/>
          <w:sz w:val="24"/>
          <w:szCs w:val="24"/>
        </w:rPr>
      </w:pPr>
      <w:r w:rsidRPr="002548D1">
        <w:rPr>
          <w:rFonts w:ascii="Arial" w:hAnsi="Arial" w:cs="Arial"/>
          <w:sz w:val="24"/>
          <w:szCs w:val="24"/>
        </w:rPr>
        <w:t>Multi</w:t>
      </w:r>
      <w:r w:rsidRPr="002548D1">
        <w:rPr>
          <w:rFonts w:ascii="Arial" w:hAnsi="Arial" w:cs="Arial"/>
          <w:sz w:val="24"/>
          <w:szCs w:val="24"/>
        </w:rPr>
        <w:noBreakHyphen/>
        <w:t>agency information sharing</w:t>
      </w:r>
    </w:p>
    <w:p w14:paraId="5AC4E7EB" w14:textId="77777777" w:rsidR="002548D1" w:rsidRPr="002548D1" w:rsidRDefault="002548D1" w:rsidP="002548D1">
      <w:pPr>
        <w:numPr>
          <w:ilvl w:val="0"/>
          <w:numId w:val="14"/>
        </w:numPr>
        <w:rPr>
          <w:rFonts w:ascii="Arial" w:hAnsi="Arial" w:cs="Arial"/>
          <w:sz w:val="24"/>
          <w:szCs w:val="24"/>
        </w:rPr>
      </w:pPr>
      <w:r w:rsidRPr="002548D1">
        <w:rPr>
          <w:rFonts w:ascii="Arial" w:hAnsi="Arial" w:cs="Arial"/>
          <w:sz w:val="24"/>
          <w:szCs w:val="24"/>
        </w:rPr>
        <w:t>Escalation where capacity and risk assessments diverge</w:t>
      </w:r>
    </w:p>
    <w:p w14:paraId="4F0213E3" w14:textId="77777777" w:rsidR="002548D1" w:rsidRPr="002548D1" w:rsidRDefault="00000000" w:rsidP="002548D1">
      <w:pPr>
        <w:rPr>
          <w:rFonts w:ascii="Arial" w:hAnsi="Arial" w:cs="Arial"/>
          <w:sz w:val="24"/>
          <w:szCs w:val="24"/>
        </w:rPr>
      </w:pPr>
      <w:r>
        <w:rPr>
          <w:rFonts w:ascii="Arial" w:hAnsi="Arial" w:cs="Arial"/>
          <w:sz w:val="24"/>
          <w:szCs w:val="24"/>
        </w:rPr>
        <w:pict w14:anchorId="00EFF1AA">
          <v:rect id="_x0000_i1032" style="width:0;height:1.5pt" o:hralign="center" o:hrstd="t" o:hr="t" fillcolor="#a0a0a0" stroked="f"/>
        </w:pict>
      </w:r>
    </w:p>
    <w:p w14:paraId="52A748D1" w14:textId="434700A1" w:rsidR="002548D1" w:rsidRPr="00D32CDA" w:rsidRDefault="00FD2324" w:rsidP="002548D1">
      <w:pPr>
        <w:rPr>
          <w:rFonts w:ascii="Arial" w:hAnsi="Arial" w:cs="Arial"/>
          <w:b/>
          <w:bCs/>
          <w:sz w:val="28"/>
          <w:szCs w:val="28"/>
        </w:rPr>
      </w:pPr>
      <w:r w:rsidRPr="00D32CDA">
        <w:rPr>
          <w:rFonts w:ascii="Arial" w:hAnsi="Arial" w:cs="Arial"/>
          <w:b/>
          <w:bCs/>
          <w:sz w:val="28"/>
          <w:szCs w:val="28"/>
        </w:rPr>
        <w:t>7</w:t>
      </w:r>
      <w:r w:rsidR="002548D1" w:rsidRPr="00D32CDA">
        <w:rPr>
          <w:rFonts w:ascii="Arial" w:hAnsi="Arial" w:cs="Arial"/>
          <w:b/>
          <w:bCs/>
          <w:sz w:val="28"/>
          <w:szCs w:val="28"/>
        </w:rPr>
        <w:t>. Key messages for multi</w:t>
      </w:r>
      <w:r w:rsidR="002548D1" w:rsidRPr="00D32CDA">
        <w:rPr>
          <w:rFonts w:ascii="Arial" w:hAnsi="Arial" w:cs="Arial"/>
          <w:b/>
          <w:bCs/>
          <w:sz w:val="28"/>
          <w:szCs w:val="28"/>
        </w:rPr>
        <w:noBreakHyphen/>
        <w:t>agency practice</w:t>
      </w:r>
    </w:p>
    <w:p w14:paraId="76A154A9" w14:textId="44B97B70" w:rsidR="002548D1" w:rsidRPr="002548D1" w:rsidRDefault="002548D1" w:rsidP="002548D1">
      <w:pPr>
        <w:numPr>
          <w:ilvl w:val="0"/>
          <w:numId w:val="16"/>
        </w:numPr>
        <w:rPr>
          <w:rFonts w:ascii="Arial" w:hAnsi="Arial" w:cs="Arial"/>
          <w:sz w:val="24"/>
          <w:szCs w:val="24"/>
        </w:rPr>
      </w:pPr>
      <w:r w:rsidRPr="002548D1">
        <w:rPr>
          <w:rFonts w:ascii="Arial" w:hAnsi="Arial" w:cs="Arial"/>
          <w:sz w:val="24"/>
          <w:szCs w:val="24"/>
        </w:rPr>
        <w:t>Executive functioning is central to real</w:t>
      </w:r>
      <w:r w:rsidR="6B1AC077" w:rsidRPr="7A9FD7AE">
        <w:rPr>
          <w:rFonts w:ascii="Arial" w:hAnsi="Arial" w:cs="Arial"/>
          <w:sz w:val="24"/>
          <w:szCs w:val="24"/>
        </w:rPr>
        <w:t xml:space="preserve"> </w:t>
      </w:r>
      <w:r w:rsidRPr="002548D1">
        <w:rPr>
          <w:rFonts w:ascii="Arial" w:hAnsi="Arial" w:cs="Arial"/>
          <w:sz w:val="24"/>
          <w:szCs w:val="24"/>
        </w:rPr>
        <w:t>world decision</w:t>
      </w:r>
      <w:r w:rsidR="3C1D5A8D" w:rsidRPr="7A9FD7AE">
        <w:rPr>
          <w:rFonts w:ascii="Arial" w:hAnsi="Arial" w:cs="Arial"/>
          <w:sz w:val="24"/>
          <w:szCs w:val="24"/>
        </w:rPr>
        <w:t xml:space="preserve"> </w:t>
      </w:r>
      <w:r w:rsidRPr="002548D1">
        <w:rPr>
          <w:rFonts w:ascii="Arial" w:hAnsi="Arial" w:cs="Arial"/>
          <w:sz w:val="24"/>
          <w:szCs w:val="24"/>
        </w:rPr>
        <w:t>making</w:t>
      </w:r>
    </w:p>
    <w:p w14:paraId="2639D653" w14:textId="77777777" w:rsidR="002548D1" w:rsidRPr="002548D1" w:rsidRDefault="002548D1" w:rsidP="002548D1">
      <w:pPr>
        <w:numPr>
          <w:ilvl w:val="0"/>
          <w:numId w:val="16"/>
        </w:numPr>
        <w:rPr>
          <w:rFonts w:ascii="Arial" w:hAnsi="Arial" w:cs="Arial"/>
          <w:sz w:val="24"/>
          <w:szCs w:val="24"/>
        </w:rPr>
      </w:pPr>
      <w:r w:rsidRPr="002548D1">
        <w:rPr>
          <w:rFonts w:ascii="Arial" w:hAnsi="Arial" w:cs="Arial"/>
          <w:sz w:val="24"/>
          <w:szCs w:val="24"/>
        </w:rPr>
        <w:t>Substance misuse can significantly impair executive capacity even when communication appears intact</w:t>
      </w:r>
    </w:p>
    <w:p w14:paraId="13DFFC9B" w14:textId="5372ECFF" w:rsidR="002548D1" w:rsidRPr="002548D1" w:rsidRDefault="002548D1" w:rsidP="002548D1">
      <w:pPr>
        <w:numPr>
          <w:ilvl w:val="0"/>
          <w:numId w:val="16"/>
        </w:numPr>
        <w:rPr>
          <w:rFonts w:ascii="Arial" w:hAnsi="Arial" w:cs="Arial"/>
          <w:sz w:val="24"/>
          <w:szCs w:val="24"/>
        </w:rPr>
      </w:pPr>
      <w:r w:rsidRPr="002548D1">
        <w:rPr>
          <w:rFonts w:ascii="Arial" w:hAnsi="Arial" w:cs="Arial"/>
          <w:sz w:val="24"/>
          <w:szCs w:val="24"/>
        </w:rPr>
        <w:t xml:space="preserve">Capacity assessments may need time, repetition, and </w:t>
      </w:r>
      <w:proofErr w:type="gramStart"/>
      <w:r w:rsidRPr="002548D1">
        <w:rPr>
          <w:rFonts w:ascii="Arial" w:hAnsi="Arial" w:cs="Arial"/>
          <w:sz w:val="24"/>
          <w:szCs w:val="24"/>
        </w:rPr>
        <w:t>real</w:t>
      </w:r>
      <w:r w:rsidR="1BFB206D" w:rsidRPr="7A9FD7AE">
        <w:rPr>
          <w:rFonts w:ascii="Arial" w:hAnsi="Arial" w:cs="Arial"/>
          <w:sz w:val="24"/>
          <w:szCs w:val="24"/>
        </w:rPr>
        <w:t xml:space="preserve"> </w:t>
      </w:r>
      <w:r w:rsidRPr="002548D1">
        <w:rPr>
          <w:rFonts w:ascii="Arial" w:hAnsi="Arial" w:cs="Arial"/>
          <w:sz w:val="24"/>
          <w:szCs w:val="24"/>
        </w:rPr>
        <w:t>world</w:t>
      </w:r>
      <w:proofErr w:type="gramEnd"/>
      <w:r w:rsidRPr="002548D1">
        <w:rPr>
          <w:rFonts w:ascii="Arial" w:hAnsi="Arial" w:cs="Arial"/>
          <w:sz w:val="24"/>
          <w:szCs w:val="24"/>
        </w:rPr>
        <w:t xml:space="preserve"> evidence</w:t>
      </w:r>
    </w:p>
    <w:p w14:paraId="12EA809B" w14:textId="1903CC8B" w:rsidR="002548D1" w:rsidRPr="002548D1" w:rsidRDefault="002548D1" w:rsidP="002548D1">
      <w:pPr>
        <w:numPr>
          <w:ilvl w:val="0"/>
          <w:numId w:val="16"/>
        </w:numPr>
        <w:rPr>
          <w:rFonts w:ascii="Arial" w:hAnsi="Arial" w:cs="Arial"/>
          <w:sz w:val="24"/>
          <w:szCs w:val="24"/>
        </w:rPr>
      </w:pPr>
      <w:r w:rsidRPr="002548D1">
        <w:rPr>
          <w:rFonts w:ascii="Arial" w:hAnsi="Arial" w:cs="Arial"/>
          <w:sz w:val="24"/>
          <w:szCs w:val="24"/>
        </w:rPr>
        <w:t>High</w:t>
      </w:r>
      <w:r w:rsidR="4EACA260" w:rsidRPr="7A9FD7AE">
        <w:rPr>
          <w:rFonts w:ascii="Arial" w:hAnsi="Arial" w:cs="Arial"/>
          <w:sz w:val="24"/>
          <w:szCs w:val="24"/>
        </w:rPr>
        <w:t xml:space="preserve"> </w:t>
      </w:r>
      <w:r w:rsidRPr="002548D1">
        <w:rPr>
          <w:rFonts w:ascii="Arial" w:hAnsi="Arial" w:cs="Arial"/>
          <w:sz w:val="24"/>
          <w:szCs w:val="24"/>
        </w:rPr>
        <w:t>risk safeguarding contexts justify greater scrutiny and escalation</w:t>
      </w:r>
    </w:p>
    <w:p w14:paraId="495479EC" w14:textId="77777777" w:rsidR="002548D1" w:rsidRPr="002548D1" w:rsidRDefault="002548D1" w:rsidP="002548D1">
      <w:pPr>
        <w:numPr>
          <w:ilvl w:val="0"/>
          <w:numId w:val="16"/>
        </w:numPr>
        <w:rPr>
          <w:rFonts w:ascii="Arial" w:hAnsi="Arial" w:cs="Arial"/>
          <w:sz w:val="24"/>
          <w:szCs w:val="24"/>
        </w:rPr>
      </w:pPr>
      <w:r w:rsidRPr="002548D1">
        <w:rPr>
          <w:rFonts w:ascii="Arial" w:hAnsi="Arial" w:cs="Arial"/>
          <w:sz w:val="24"/>
          <w:szCs w:val="24"/>
        </w:rPr>
        <w:t>Patterns of harm matter as much as stated understanding</w:t>
      </w:r>
    </w:p>
    <w:p w14:paraId="48D634BE" w14:textId="77777777" w:rsidR="002548D1" w:rsidRPr="002548D1" w:rsidRDefault="00000000" w:rsidP="002548D1">
      <w:pPr>
        <w:rPr>
          <w:rFonts w:ascii="Arial" w:hAnsi="Arial" w:cs="Arial"/>
          <w:sz w:val="24"/>
          <w:szCs w:val="24"/>
        </w:rPr>
      </w:pPr>
      <w:r>
        <w:rPr>
          <w:rFonts w:ascii="Arial" w:hAnsi="Arial" w:cs="Arial"/>
          <w:sz w:val="24"/>
          <w:szCs w:val="24"/>
        </w:rPr>
        <w:lastRenderedPageBreak/>
        <w:pict w14:anchorId="52862662">
          <v:rect id="_x0000_i1033" style="width:0;height:1.5pt" o:hralign="center" o:hrstd="t" o:hr="t" fillcolor="#a0a0a0" stroked="f"/>
        </w:pict>
      </w:r>
    </w:p>
    <w:p w14:paraId="5CB226FA" w14:textId="4661DC74" w:rsidR="002548D1" w:rsidRPr="00D32CDA" w:rsidRDefault="00FD2324" w:rsidP="002548D1">
      <w:pPr>
        <w:rPr>
          <w:rFonts w:ascii="Arial" w:hAnsi="Arial" w:cs="Arial"/>
          <w:b/>
          <w:bCs/>
          <w:sz w:val="28"/>
          <w:szCs w:val="28"/>
        </w:rPr>
      </w:pPr>
      <w:r w:rsidRPr="00D32CDA">
        <w:rPr>
          <w:rFonts w:ascii="Arial" w:hAnsi="Arial" w:cs="Arial"/>
          <w:b/>
          <w:bCs/>
          <w:sz w:val="28"/>
          <w:szCs w:val="28"/>
        </w:rPr>
        <w:t>8</w:t>
      </w:r>
      <w:r w:rsidR="002548D1" w:rsidRPr="00D32CDA">
        <w:rPr>
          <w:rFonts w:ascii="Arial" w:hAnsi="Arial" w:cs="Arial"/>
          <w:b/>
          <w:bCs/>
          <w:sz w:val="28"/>
          <w:szCs w:val="28"/>
        </w:rPr>
        <w:t xml:space="preserve">. </w:t>
      </w:r>
      <w:r w:rsidR="00EB3074" w:rsidRPr="00CF1F25">
        <w:rPr>
          <w:rFonts w:ascii="Arial" w:hAnsi="Arial" w:cs="Arial"/>
          <w:b/>
          <w:bCs/>
          <w:sz w:val="32"/>
          <w:szCs w:val="32"/>
        </w:rPr>
        <w:t>Further reading and guidance</w:t>
      </w:r>
    </w:p>
    <w:p w14:paraId="1DD61893" w14:textId="5F1AD9CC" w:rsidR="002548D1" w:rsidRPr="002548D1" w:rsidRDefault="002548D1" w:rsidP="002548D1">
      <w:pPr>
        <w:numPr>
          <w:ilvl w:val="0"/>
          <w:numId w:val="17"/>
        </w:numPr>
        <w:rPr>
          <w:rFonts w:ascii="Arial" w:hAnsi="Arial" w:cs="Arial"/>
          <w:sz w:val="24"/>
          <w:szCs w:val="24"/>
        </w:rPr>
      </w:pPr>
      <w:hyperlink r:id="rId11" w:history="1">
        <w:r w:rsidRPr="002548D1">
          <w:rPr>
            <w:rStyle w:val="Hyperlink"/>
            <w:rFonts w:ascii="Arial" w:hAnsi="Arial" w:cs="Arial"/>
            <w:b/>
            <w:bCs/>
            <w:sz w:val="24"/>
            <w:szCs w:val="24"/>
          </w:rPr>
          <w:t>Executive Function: Practice Note for Mental Capacity Assessments</w:t>
        </w:r>
      </w:hyperlink>
      <w:r w:rsidRPr="002548D1">
        <w:rPr>
          <w:rFonts w:ascii="Arial" w:hAnsi="Arial" w:cs="Arial"/>
          <w:sz w:val="24"/>
          <w:szCs w:val="24"/>
        </w:rPr>
        <w:t xml:space="preserve"> (Procedures Online, 2024)</w:t>
      </w:r>
    </w:p>
    <w:p w14:paraId="39798AEE" w14:textId="5AA1150E" w:rsidR="002548D1" w:rsidRPr="002548D1" w:rsidRDefault="002548D1" w:rsidP="002548D1">
      <w:pPr>
        <w:numPr>
          <w:ilvl w:val="0"/>
          <w:numId w:val="17"/>
        </w:numPr>
        <w:rPr>
          <w:rFonts w:ascii="Arial" w:hAnsi="Arial" w:cs="Arial"/>
          <w:sz w:val="24"/>
          <w:szCs w:val="24"/>
        </w:rPr>
      </w:pPr>
      <w:hyperlink r:id="rId12" w:history="1">
        <w:r w:rsidRPr="002548D1">
          <w:rPr>
            <w:rStyle w:val="Hyperlink"/>
            <w:rFonts w:ascii="Arial" w:hAnsi="Arial" w:cs="Arial"/>
            <w:b/>
            <w:bCs/>
            <w:sz w:val="24"/>
            <w:szCs w:val="24"/>
          </w:rPr>
          <w:t>Executive Functioning and Mental Capacity</w:t>
        </w:r>
      </w:hyperlink>
      <w:r w:rsidRPr="002548D1">
        <w:rPr>
          <w:rFonts w:ascii="Arial" w:hAnsi="Arial" w:cs="Arial"/>
          <w:sz w:val="24"/>
          <w:szCs w:val="24"/>
        </w:rPr>
        <w:t xml:space="preserve"> – Safeguarding Adults Board guidance </w:t>
      </w:r>
      <w:r w:rsidR="003306B7">
        <w:rPr>
          <w:rFonts w:ascii="Arial" w:hAnsi="Arial" w:cs="Arial"/>
          <w:sz w:val="24"/>
          <w:szCs w:val="24"/>
        </w:rPr>
        <w:t>created by</w:t>
      </w:r>
      <w:r w:rsidR="00077D3C">
        <w:rPr>
          <w:rFonts w:ascii="Arial" w:hAnsi="Arial" w:cs="Arial"/>
          <w:sz w:val="24"/>
          <w:szCs w:val="24"/>
        </w:rPr>
        <w:t xml:space="preserve"> Lancashire</w:t>
      </w:r>
    </w:p>
    <w:p w14:paraId="06D3A9E6" w14:textId="7BE56CB7" w:rsidR="002548D1" w:rsidRPr="002548D1" w:rsidRDefault="002548D1" w:rsidP="002548D1">
      <w:pPr>
        <w:numPr>
          <w:ilvl w:val="0"/>
          <w:numId w:val="17"/>
        </w:numPr>
        <w:rPr>
          <w:rFonts w:ascii="Arial" w:hAnsi="Arial" w:cs="Arial"/>
          <w:sz w:val="24"/>
          <w:szCs w:val="24"/>
        </w:rPr>
      </w:pPr>
      <w:hyperlink r:id="rId13" w:history="1">
        <w:r w:rsidRPr="002548D1">
          <w:rPr>
            <w:rStyle w:val="Hyperlink"/>
            <w:rFonts w:ascii="Arial" w:hAnsi="Arial" w:cs="Arial"/>
            <w:b/>
            <w:bCs/>
            <w:sz w:val="24"/>
            <w:szCs w:val="24"/>
          </w:rPr>
          <w:t>BASW Briefing: Mental Capacity, Alcohol and Other Drug Use</w:t>
        </w:r>
      </w:hyperlink>
    </w:p>
    <w:p w14:paraId="0129A371" w14:textId="5FDF72B9" w:rsidR="002548D1" w:rsidRPr="002548D1" w:rsidRDefault="002548D1" w:rsidP="002548D1">
      <w:pPr>
        <w:numPr>
          <w:ilvl w:val="0"/>
          <w:numId w:val="17"/>
        </w:numPr>
        <w:rPr>
          <w:rFonts w:ascii="Arial" w:hAnsi="Arial" w:cs="Arial"/>
          <w:sz w:val="24"/>
          <w:szCs w:val="24"/>
        </w:rPr>
      </w:pPr>
      <w:hyperlink r:id="rId14" w:history="1">
        <w:r w:rsidRPr="002548D1">
          <w:rPr>
            <w:rStyle w:val="Hyperlink"/>
            <w:rFonts w:ascii="Arial" w:hAnsi="Arial" w:cs="Arial"/>
            <w:b/>
            <w:bCs/>
            <w:sz w:val="24"/>
            <w:szCs w:val="24"/>
          </w:rPr>
          <w:t>NICE guidance on co</w:t>
        </w:r>
        <w:r w:rsidRPr="002548D1">
          <w:rPr>
            <w:rStyle w:val="Hyperlink"/>
            <w:rFonts w:ascii="Arial" w:hAnsi="Arial" w:cs="Arial"/>
            <w:b/>
            <w:bCs/>
            <w:sz w:val="24"/>
            <w:szCs w:val="24"/>
          </w:rPr>
          <w:noBreakHyphen/>
          <w:t>existing mental illness and substance misuse (NG58 / CG120</w:t>
        </w:r>
      </w:hyperlink>
      <w:r w:rsidRPr="002548D1">
        <w:rPr>
          <w:rFonts w:ascii="Arial" w:hAnsi="Arial" w:cs="Arial"/>
          <w:b/>
          <w:bCs/>
          <w:sz w:val="24"/>
          <w:szCs w:val="24"/>
        </w:rPr>
        <w:t>)</w:t>
      </w:r>
    </w:p>
    <w:p w14:paraId="268DA943" w14:textId="77777777" w:rsidR="00347855" w:rsidRDefault="00347855" w:rsidP="00347855">
      <w:pPr>
        <w:spacing w:after="0" w:line="300" w:lineRule="atLeast"/>
        <w:rPr>
          <w:rFonts w:ascii="Segoe UI" w:eastAsia="Times New Roman" w:hAnsi="Segoe UI" w:cs="Segoe UI"/>
          <w:kern w:val="0"/>
          <w:sz w:val="21"/>
          <w:szCs w:val="21"/>
          <w:lang w:eastAsia="en-GB"/>
          <w14:ligatures w14:val="none"/>
        </w:rPr>
      </w:pPr>
    </w:p>
    <w:p w14:paraId="4AAD58A1" w14:textId="527D7182" w:rsidR="00347855" w:rsidRPr="00347855" w:rsidRDefault="00347855" w:rsidP="00347855">
      <w:pPr>
        <w:spacing w:after="0" w:line="300" w:lineRule="atLeast"/>
        <w:rPr>
          <w:rFonts w:ascii="Arial" w:eastAsia="Times New Roman" w:hAnsi="Arial" w:cs="Arial"/>
          <w:i/>
          <w:iCs/>
          <w:kern w:val="0"/>
          <w:sz w:val="24"/>
          <w:szCs w:val="24"/>
          <w:lang w:eastAsia="en-GB"/>
          <w14:ligatures w14:val="none"/>
        </w:rPr>
      </w:pPr>
      <w:r w:rsidRPr="00347855">
        <w:rPr>
          <w:rFonts w:ascii="Arial" w:eastAsia="Times New Roman" w:hAnsi="Arial" w:cs="Arial"/>
          <w:i/>
          <w:iCs/>
          <w:kern w:val="0"/>
          <w:sz w:val="24"/>
          <w:szCs w:val="24"/>
          <w:lang w:eastAsia="en-GB"/>
          <w14:ligatures w14:val="none"/>
        </w:rPr>
        <w:t xml:space="preserve">This guidance is intended to support lawful and proportionate practice under the Mental Capacity Act 2005. It does not replace the need for professional judgement or formal legal advice. Where there is significant disagreement between agencies, uncertainty about the application of the Act, escalating risk alongside contested capacity, or consideration of restrictive interventions, practitioners should seek </w:t>
      </w:r>
      <w:r w:rsidR="00B57A28" w:rsidRPr="00070DB9">
        <w:rPr>
          <w:rFonts w:ascii="Arial" w:eastAsia="Times New Roman" w:hAnsi="Arial" w:cs="Arial"/>
          <w:b/>
          <w:bCs/>
          <w:i/>
          <w:iCs/>
          <w:kern w:val="0"/>
          <w:sz w:val="24"/>
          <w:szCs w:val="24"/>
          <w:lang w:eastAsia="en-GB"/>
          <w14:ligatures w14:val="none"/>
        </w:rPr>
        <w:t xml:space="preserve">legal </w:t>
      </w:r>
      <w:r w:rsidRPr="00070DB9">
        <w:rPr>
          <w:rFonts w:ascii="Arial" w:eastAsia="Times New Roman" w:hAnsi="Arial" w:cs="Arial"/>
          <w:b/>
          <w:bCs/>
          <w:i/>
          <w:iCs/>
          <w:kern w:val="0"/>
          <w:sz w:val="24"/>
          <w:szCs w:val="24"/>
          <w:lang w:eastAsia="en-GB"/>
          <w14:ligatures w14:val="none"/>
        </w:rPr>
        <w:t>advice</w:t>
      </w:r>
      <w:r w:rsidR="00D538EE" w:rsidRPr="00070DB9">
        <w:rPr>
          <w:rFonts w:ascii="Arial" w:eastAsia="Times New Roman" w:hAnsi="Arial" w:cs="Arial"/>
          <w:b/>
          <w:bCs/>
          <w:i/>
          <w:iCs/>
          <w:kern w:val="0"/>
          <w:sz w:val="24"/>
          <w:szCs w:val="24"/>
          <w:lang w:eastAsia="en-GB"/>
          <w14:ligatures w14:val="none"/>
        </w:rPr>
        <w:t>, sen</w:t>
      </w:r>
      <w:r w:rsidR="00B418B0" w:rsidRPr="00070DB9">
        <w:rPr>
          <w:rFonts w:ascii="Arial" w:eastAsia="Times New Roman" w:hAnsi="Arial" w:cs="Arial"/>
          <w:b/>
          <w:bCs/>
          <w:i/>
          <w:iCs/>
          <w:kern w:val="0"/>
          <w:sz w:val="24"/>
          <w:szCs w:val="24"/>
          <w:lang w:eastAsia="en-GB"/>
          <w14:ligatures w14:val="none"/>
        </w:rPr>
        <w:t>ior oversight or court involvement</w:t>
      </w:r>
      <w:r w:rsidR="00B418B0">
        <w:rPr>
          <w:rFonts w:ascii="Arial" w:eastAsia="Times New Roman" w:hAnsi="Arial" w:cs="Arial"/>
          <w:i/>
          <w:iCs/>
          <w:kern w:val="0"/>
          <w:sz w:val="24"/>
          <w:szCs w:val="24"/>
          <w:lang w:eastAsia="en-GB"/>
          <w14:ligatures w14:val="none"/>
        </w:rPr>
        <w:t xml:space="preserve"> </w:t>
      </w:r>
      <w:r w:rsidRPr="00347855">
        <w:rPr>
          <w:rFonts w:ascii="Arial" w:eastAsia="Times New Roman" w:hAnsi="Arial" w:cs="Arial"/>
          <w:i/>
          <w:iCs/>
          <w:kern w:val="0"/>
          <w:sz w:val="24"/>
          <w:szCs w:val="24"/>
          <w:lang w:eastAsia="en-GB"/>
          <w14:ligatures w14:val="none"/>
        </w:rPr>
        <w:t>to ensure decisions are robust, defensible, and rights</w:t>
      </w:r>
      <w:r w:rsidRPr="00347855">
        <w:rPr>
          <w:rFonts w:ascii="Arial" w:eastAsia="Times New Roman" w:hAnsi="Arial" w:cs="Arial"/>
          <w:i/>
          <w:iCs/>
          <w:kern w:val="0"/>
          <w:sz w:val="24"/>
          <w:szCs w:val="24"/>
          <w:lang w:eastAsia="en-GB"/>
          <w14:ligatures w14:val="none"/>
        </w:rPr>
        <w:noBreakHyphen/>
        <w:t>respecting.</w:t>
      </w:r>
    </w:p>
    <w:p w14:paraId="20AFFE47" w14:textId="6D4D40B3" w:rsidR="00F22DF6" w:rsidRPr="002548D1" w:rsidRDefault="00F22DF6">
      <w:pPr>
        <w:rPr>
          <w:rFonts w:ascii="Arial" w:hAnsi="Arial" w:cs="Arial"/>
          <w:sz w:val="24"/>
          <w:szCs w:val="24"/>
        </w:rPr>
      </w:pPr>
    </w:p>
    <w:sectPr w:rsidR="00F22DF6" w:rsidRPr="002548D1">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F14CE" w14:textId="77777777" w:rsidR="00DB2859" w:rsidRDefault="00DB2859" w:rsidP="00C627EC">
      <w:pPr>
        <w:spacing w:after="0" w:line="240" w:lineRule="auto"/>
      </w:pPr>
      <w:r>
        <w:separator/>
      </w:r>
    </w:p>
  </w:endnote>
  <w:endnote w:type="continuationSeparator" w:id="0">
    <w:p w14:paraId="22CFEE46" w14:textId="77777777" w:rsidR="00DB2859" w:rsidRDefault="00DB2859" w:rsidP="00C62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E78E8" w14:textId="77777777" w:rsidR="00DB2859" w:rsidRDefault="00DB2859" w:rsidP="00C627EC">
      <w:pPr>
        <w:spacing w:after="0" w:line="240" w:lineRule="auto"/>
      </w:pPr>
      <w:r>
        <w:separator/>
      </w:r>
    </w:p>
  </w:footnote>
  <w:footnote w:type="continuationSeparator" w:id="0">
    <w:p w14:paraId="675547AF" w14:textId="77777777" w:rsidR="00DB2859" w:rsidRDefault="00DB2859" w:rsidP="00C62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4C0F" w14:textId="44D5A0FD" w:rsidR="00C627EC" w:rsidRDefault="00A917D7">
    <w:pPr>
      <w:pStyle w:val="Header"/>
    </w:pPr>
    <w:r>
      <w:t>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22DC"/>
    <w:multiLevelType w:val="multilevel"/>
    <w:tmpl w:val="14C05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75183"/>
    <w:multiLevelType w:val="multilevel"/>
    <w:tmpl w:val="A854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41BD6"/>
    <w:multiLevelType w:val="multilevel"/>
    <w:tmpl w:val="0C06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929DF"/>
    <w:multiLevelType w:val="multilevel"/>
    <w:tmpl w:val="1D70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90418"/>
    <w:multiLevelType w:val="multilevel"/>
    <w:tmpl w:val="74F0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85573"/>
    <w:multiLevelType w:val="multilevel"/>
    <w:tmpl w:val="D97AA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950DC5"/>
    <w:multiLevelType w:val="multilevel"/>
    <w:tmpl w:val="D3CE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72069"/>
    <w:multiLevelType w:val="multilevel"/>
    <w:tmpl w:val="4B10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95C8E"/>
    <w:multiLevelType w:val="multilevel"/>
    <w:tmpl w:val="1F06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50566"/>
    <w:multiLevelType w:val="multilevel"/>
    <w:tmpl w:val="A6C6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BF5039"/>
    <w:multiLevelType w:val="multilevel"/>
    <w:tmpl w:val="A35C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B4222C"/>
    <w:multiLevelType w:val="multilevel"/>
    <w:tmpl w:val="38CC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F40101"/>
    <w:multiLevelType w:val="multilevel"/>
    <w:tmpl w:val="68AE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C03733"/>
    <w:multiLevelType w:val="multilevel"/>
    <w:tmpl w:val="991C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875729"/>
    <w:multiLevelType w:val="multilevel"/>
    <w:tmpl w:val="230A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5372E8"/>
    <w:multiLevelType w:val="multilevel"/>
    <w:tmpl w:val="F334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081529"/>
    <w:multiLevelType w:val="multilevel"/>
    <w:tmpl w:val="D4CA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0A7489"/>
    <w:multiLevelType w:val="multilevel"/>
    <w:tmpl w:val="E76EE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190027">
    <w:abstractNumId w:val="12"/>
  </w:num>
  <w:num w:numId="2" w16cid:durableId="1561941631">
    <w:abstractNumId w:val="9"/>
  </w:num>
  <w:num w:numId="3" w16cid:durableId="1295482785">
    <w:abstractNumId w:val="1"/>
  </w:num>
  <w:num w:numId="4" w16cid:durableId="1182162733">
    <w:abstractNumId w:val="5"/>
  </w:num>
  <w:num w:numId="5" w16cid:durableId="1344239579">
    <w:abstractNumId w:val="2"/>
  </w:num>
  <w:num w:numId="6" w16cid:durableId="334263239">
    <w:abstractNumId w:val="10"/>
  </w:num>
  <w:num w:numId="7" w16cid:durableId="36708173">
    <w:abstractNumId w:val="13"/>
  </w:num>
  <w:num w:numId="8" w16cid:durableId="1472596613">
    <w:abstractNumId w:val="17"/>
  </w:num>
  <w:num w:numId="9" w16cid:durableId="1102844901">
    <w:abstractNumId w:val="7"/>
  </w:num>
  <w:num w:numId="10" w16cid:durableId="302389400">
    <w:abstractNumId w:val="11"/>
  </w:num>
  <w:num w:numId="11" w16cid:durableId="744762113">
    <w:abstractNumId w:val="6"/>
  </w:num>
  <w:num w:numId="12" w16cid:durableId="1604147029">
    <w:abstractNumId w:val="16"/>
  </w:num>
  <w:num w:numId="13" w16cid:durableId="1395155514">
    <w:abstractNumId w:val="3"/>
  </w:num>
  <w:num w:numId="14" w16cid:durableId="1489859288">
    <w:abstractNumId w:val="4"/>
  </w:num>
  <w:num w:numId="15" w16cid:durableId="421681951">
    <w:abstractNumId w:val="0"/>
  </w:num>
  <w:num w:numId="16" w16cid:durableId="510989267">
    <w:abstractNumId w:val="14"/>
  </w:num>
  <w:num w:numId="17" w16cid:durableId="986133977">
    <w:abstractNumId w:val="8"/>
  </w:num>
  <w:num w:numId="18" w16cid:durableId="9844299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D1"/>
    <w:rsid w:val="00051932"/>
    <w:rsid w:val="00053E55"/>
    <w:rsid w:val="00070DB9"/>
    <w:rsid w:val="00077D3C"/>
    <w:rsid w:val="000A394F"/>
    <w:rsid w:val="000F06D2"/>
    <w:rsid w:val="0012516A"/>
    <w:rsid w:val="001B0183"/>
    <w:rsid w:val="00211D74"/>
    <w:rsid w:val="002548D1"/>
    <w:rsid w:val="00277B5A"/>
    <w:rsid w:val="00277E72"/>
    <w:rsid w:val="002B3B4D"/>
    <w:rsid w:val="002E1F4C"/>
    <w:rsid w:val="003225FC"/>
    <w:rsid w:val="003306B7"/>
    <w:rsid w:val="00347855"/>
    <w:rsid w:val="003964E2"/>
    <w:rsid w:val="003F6162"/>
    <w:rsid w:val="00450592"/>
    <w:rsid w:val="00461EF3"/>
    <w:rsid w:val="004632E2"/>
    <w:rsid w:val="00481AA6"/>
    <w:rsid w:val="004929E6"/>
    <w:rsid w:val="004A4FCF"/>
    <w:rsid w:val="004D6E33"/>
    <w:rsid w:val="005D2798"/>
    <w:rsid w:val="00646081"/>
    <w:rsid w:val="006545D5"/>
    <w:rsid w:val="00691D01"/>
    <w:rsid w:val="006D78E4"/>
    <w:rsid w:val="00712F2D"/>
    <w:rsid w:val="0071482D"/>
    <w:rsid w:val="00745CD3"/>
    <w:rsid w:val="007B1624"/>
    <w:rsid w:val="007E2E6C"/>
    <w:rsid w:val="00844FF9"/>
    <w:rsid w:val="00845C6B"/>
    <w:rsid w:val="00873318"/>
    <w:rsid w:val="0088317C"/>
    <w:rsid w:val="008A5B25"/>
    <w:rsid w:val="008C4777"/>
    <w:rsid w:val="008F3E1C"/>
    <w:rsid w:val="00956B86"/>
    <w:rsid w:val="009578EE"/>
    <w:rsid w:val="009668AA"/>
    <w:rsid w:val="009B4D6D"/>
    <w:rsid w:val="009F7468"/>
    <w:rsid w:val="00A113E9"/>
    <w:rsid w:val="00A23E36"/>
    <w:rsid w:val="00A84F9E"/>
    <w:rsid w:val="00A917D7"/>
    <w:rsid w:val="00AA4F51"/>
    <w:rsid w:val="00B37333"/>
    <w:rsid w:val="00B418B0"/>
    <w:rsid w:val="00B57A28"/>
    <w:rsid w:val="00BA514B"/>
    <w:rsid w:val="00BB6FBE"/>
    <w:rsid w:val="00BD1CCE"/>
    <w:rsid w:val="00BD72DB"/>
    <w:rsid w:val="00C262CC"/>
    <w:rsid w:val="00C318F2"/>
    <w:rsid w:val="00C46F9E"/>
    <w:rsid w:val="00C53E2E"/>
    <w:rsid w:val="00C56893"/>
    <w:rsid w:val="00C627EC"/>
    <w:rsid w:val="00C83DE3"/>
    <w:rsid w:val="00CA5D1D"/>
    <w:rsid w:val="00CE3DA9"/>
    <w:rsid w:val="00D32CDA"/>
    <w:rsid w:val="00D37F31"/>
    <w:rsid w:val="00D52D6D"/>
    <w:rsid w:val="00D538EE"/>
    <w:rsid w:val="00D85E20"/>
    <w:rsid w:val="00DB0483"/>
    <w:rsid w:val="00DB2859"/>
    <w:rsid w:val="00DC0646"/>
    <w:rsid w:val="00E13ECD"/>
    <w:rsid w:val="00E90980"/>
    <w:rsid w:val="00EB3074"/>
    <w:rsid w:val="00EC6997"/>
    <w:rsid w:val="00F22DF6"/>
    <w:rsid w:val="00F25227"/>
    <w:rsid w:val="00F35FC4"/>
    <w:rsid w:val="00FA5704"/>
    <w:rsid w:val="00FD2324"/>
    <w:rsid w:val="0152AC52"/>
    <w:rsid w:val="0EA826F8"/>
    <w:rsid w:val="162A8F53"/>
    <w:rsid w:val="1A57827F"/>
    <w:rsid w:val="1BFB206D"/>
    <w:rsid w:val="1F31B0F7"/>
    <w:rsid w:val="1F7D6928"/>
    <w:rsid w:val="2A70E883"/>
    <w:rsid w:val="2D2920CD"/>
    <w:rsid w:val="2E093DB1"/>
    <w:rsid w:val="31A5F754"/>
    <w:rsid w:val="350ACD59"/>
    <w:rsid w:val="3C1D5A8D"/>
    <w:rsid w:val="3C8BCEBC"/>
    <w:rsid w:val="40468592"/>
    <w:rsid w:val="44897445"/>
    <w:rsid w:val="4738378B"/>
    <w:rsid w:val="4EACA260"/>
    <w:rsid w:val="5AE249F8"/>
    <w:rsid w:val="6B1AC077"/>
    <w:rsid w:val="76D5DE1A"/>
    <w:rsid w:val="7A08432A"/>
    <w:rsid w:val="7A9FD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9959F"/>
  <w15:chartTrackingRefBased/>
  <w15:docId w15:val="{713D5B62-218D-4341-8A70-0B79DB12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8D1"/>
    <w:rPr>
      <w:rFonts w:eastAsiaTheme="majorEastAsia" w:cstheme="majorBidi"/>
      <w:color w:val="272727" w:themeColor="text1" w:themeTint="D8"/>
    </w:rPr>
  </w:style>
  <w:style w:type="paragraph" w:styleId="Title">
    <w:name w:val="Title"/>
    <w:basedOn w:val="Normal"/>
    <w:next w:val="Normal"/>
    <w:link w:val="TitleChar"/>
    <w:uiPriority w:val="10"/>
    <w:qFormat/>
    <w:rsid w:val="00254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8D1"/>
    <w:pPr>
      <w:spacing w:before="160"/>
      <w:jc w:val="center"/>
    </w:pPr>
    <w:rPr>
      <w:i/>
      <w:iCs/>
      <w:color w:val="404040" w:themeColor="text1" w:themeTint="BF"/>
    </w:rPr>
  </w:style>
  <w:style w:type="character" w:customStyle="1" w:styleId="QuoteChar">
    <w:name w:val="Quote Char"/>
    <w:basedOn w:val="DefaultParagraphFont"/>
    <w:link w:val="Quote"/>
    <w:uiPriority w:val="29"/>
    <w:rsid w:val="002548D1"/>
    <w:rPr>
      <w:i/>
      <w:iCs/>
      <w:color w:val="404040" w:themeColor="text1" w:themeTint="BF"/>
    </w:rPr>
  </w:style>
  <w:style w:type="paragraph" w:styleId="ListParagraph">
    <w:name w:val="List Paragraph"/>
    <w:basedOn w:val="Normal"/>
    <w:uiPriority w:val="34"/>
    <w:qFormat/>
    <w:rsid w:val="002548D1"/>
    <w:pPr>
      <w:ind w:left="720"/>
      <w:contextualSpacing/>
    </w:pPr>
  </w:style>
  <w:style w:type="character" w:styleId="IntenseEmphasis">
    <w:name w:val="Intense Emphasis"/>
    <w:basedOn w:val="DefaultParagraphFont"/>
    <w:uiPriority w:val="21"/>
    <w:qFormat/>
    <w:rsid w:val="002548D1"/>
    <w:rPr>
      <w:i/>
      <w:iCs/>
      <w:color w:val="0F4761" w:themeColor="accent1" w:themeShade="BF"/>
    </w:rPr>
  </w:style>
  <w:style w:type="paragraph" w:styleId="IntenseQuote">
    <w:name w:val="Intense Quote"/>
    <w:basedOn w:val="Normal"/>
    <w:next w:val="Normal"/>
    <w:link w:val="IntenseQuoteChar"/>
    <w:uiPriority w:val="30"/>
    <w:qFormat/>
    <w:rsid w:val="00254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8D1"/>
    <w:rPr>
      <w:i/>
      <w:iCs/>
      <w:color w:val="0F4761" w:themeColor="accent1" w:themeShade="BF"/>
    </w:rPr>
  </w:style>
  <w:style w:type="character" w:styleId="IntenseReference">
    <w:name w:val="Intense Reference"/>
    <w:basedOn w:val="DefaultParagraphFont"/>
    <w:uiPriority w:val="32"/>
    <w:qFormat/>
    <w:rsid w:val="002548D1"/>
    <w:rPr>
      <w:b/>
      <w:bCs/>
      <w:smallCaps/>
      <w:color w:val="0F4761" w:themeColor="accent1" w:themeShade="BF"/>
      <w:spacing w:val="5"/>
    </w:rPr>
  </w:style>
  <w:style w:type="character" w:styleId="Hyperlink">
    <w:name w:val="Hyperlink"/>
    <w:basedOn w:val="DefaultParagraphFont"/>
    <w:uiPriority w:val="99"/>
    <w:unhideWhenUsed/>
    <w:rsid w:val="00077D3C"/>
    <w:rPr>
      <w:color w:val="467886" w:themeColor="hyperlink"/>
      <w:u w:val="single"/>
    </w:rPr>
  </w:style>
  <w:style w:type="character" w:styleId="UnresolvedMention">
    <w:name w:val="Unresolved Mention"/>
    <w:basedOn w:val="DefaultParagraphFont"/>
    <w:uiPriority w:val="99"/>
    <w:semiHidden/>
    <w:unhideWhenUsed/>
    <w:rsid w:val="00077D3C"/>
    <w:rPr>
      <w:color w:val="605E5C"/>
      <w:shd w:val="clear" w:color="auto" w:fill="E1DFDD"/>
    </w:rPr>
  </w:style>
  <w:style w:type="paragraph" w:styleId="Header">
    <w:name w:val="header"/>
    <w:basedOn w:val="Normal"/>
    <w:link w:val="HeaderChar"/>
    <w:uiPriority w:val="99"/>
    <w:unhideWhenUsed/>
    <w:rsid w:val="00C62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7EC"/>
  </w:style>
  <w:style w:type="paragraph" w:styleId="Footer">
    <w:name w:val="footer"/>
    <w:basedOn w:val="Normal"/>
    <w:link w:val="FooterChar"/>
    <w:uiPriority w:val="99"/>
    <w:unhideWhenUsed/>
    <w:rsid w:val="00C62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asw.co.uk/sites/default/files/resources/mca_briefing_v3.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ncashiresafeguarding.org.uk/media/19288/executive-functioning-grab-sheet-mca-guidance_v10_apr202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ceduresonline.com/trixcms1/media/13576/executive-function-practice-guidance-final.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ce.org.uk/guidance/ng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60D7304BE4043BD3435C2B0FED966" ma:contentTypeVersion="15" ma:contentTypeDescription="Create a new document." ma:contentTypeScope="" ma:versionID="1d74084de0573c380e2d4990d81ea2f9">
  <xsd:schema xmlns:xsd="http://www.w3.org/2001/XMLSchema" xmlns:xs="http://www.w3.org/2001/XMLSchema" xmlns:p="http://schemas.microsoft.com/office/2006/metadata/properties" xmlns:ns2="e7c93d94-3567-46e4-b78a-3fd117370cb9" xmlns:ns3="cf69afef-99ba-425a-9397-622cb8d98826" targetNamespace="http://schemas.microsoft.com/office/2006/metadata/properties" ma:root="true" ma:fieldsID="c86db448589fd2bee20908f0c22da86b" ns2:_="" ns3:_="">
    <xsd:import namespace="e7c93d94-3567-46e4-b78a-3fd117370cb9"/>
    <xsd:import namespace="cf69afef-99ba-425a-9397-622cb8d988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93d94-3567-46e4-b78a-3fd117370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69afef-99ba-425a-9397-622cb8d9882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0eaf22c-9263-4475-8c5e-6e9a2fefb0d3}" ma:internalName="TaxCatchAll" ma:showField="CatchAllData" ma:web="cf69afef-99ba-425a-9397-622cb8d9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c93d94-3567-46e4-b78a-3fd117370cb9">
      <Terms xmlns="http://schemas.microsoft.com/office/infopath/2007/PartnerControls"/>
    </lcf76f155ced4ddcb4097134ff3c332f>
    <TaxCatchAll xmlns="cf69afef-99ba-425a-9397-622cb8d988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C5B8E4-001B-4373-882E-FA1ED31AA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93d94-3567-46e4-b78a-3fd117370cb9"/>
    <ds:schemaRef ds:uri="cf69afef-99ba-425a-9397-622cb8d9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88C9A-CE5B-41FE-9BE5-70FD08A7E238}">
  <ds:schemaRefs>
    <ds:schemaRef ds:uri="http://schemas.microsoft.com/office/2006/metadata/properties"/>
    <ds:schemaRef ds:uri="http://schemas.microsoft.com/office/infopath/2007/PartnerControls"/>
    <ds:schemaRef ds:uri="e7c93d94-3567-46e4-b78a-3fd117370cb9"/>
    <ds:schemaRef ds:uri="cf69afef-99ba-425a-9397-622cb8d98826"/>
  </ds:schemaRefs>
</ds:datastoreItem>
</file>

<file path=customXml/itemProps3.xml><?xml version="1.0" encoding="utf-8"?>
<ds:datastoreItem xmlns:ds="http://schemas.openxmlformats.org/officeDocument/2006/customXml" ds:itemID="{40F9E95E-69B1-48EF-847B-2081FDBF87AD}">
  <ds:schemaRefs>
    <ds:schemaRef ds:uri="http://schemas.microsoft.com/sharepoint/v3/contenttype/forms"/>
  </ds:schemaRefs>
</ds:datastoreItem>
</file>

<file path=docMetadata/LabelInfo.xml><?xml version="1.0" encoding="utf-8"?>
<clbl:labelList xmlns:clbl="http://schemas.microsoft.com/office/2020/mipLabelMetadata">
  <clbl:label id="{b29fb4c0-0d04-4a9f-b462-c1294b1e1b47}" enabled="0" method="" siteId="{b29fb4c0-0d04-4a9f-b462-c1294b1e1b4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1227</Words>
  <Characters>6116</Characters>
  <Application>Microsoft Office Word</Application>
  <DocSecurity>0</DocSecurity>
  <Lines>115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Links>
    <vt:vector size="24" baseType="variant">
      <vt:variant>
        <vt:i4>5701648</vt:i4>
      </vt:variant>
      <vt:variant>
        <vt:i4>9</vt:i4>
      </vt:variant>
      <vt:variant>
        <vt:i4>0</vt:i4>
      </vt:variant>
      <vt:variant>
        <vt:i4>5</vt:i4>
      </vt:variant>
      <vt:variant>
        <vt:lpwstr>https://www.nice.org.uk/guidance/ng58</vt:lpwstr>
      </vt:variant>
      <vt:variant>
        <vt:lpwstr/>
      </vt:variant>
      <vt:variant>
        <vt:i4>4063270</vt:i4>
      </vt:variant>
      <vt:variant>
        <vt:i4>6</vt:i4>
      </vt:variant>
      <vt:variant>
        <vt:i4>0</vt:i4>
      </vt:variant>
      <vt:variant>
        <vt:i4>5</vt:i4>
      </vt:variant>
      <vt:variant>
        <vt:lpwstr>https://basw.co.uk/sites/default/files/resources/mca_briefing_v3.pdf</vt:lpwstr>
      </vt:variant>
      <vt:variant>
        <vt:lpwstr/>
      </vt:variant>
      <vt:variant>
        <vt:i4>7864437</vt:i4>
      </vt:variant>
      <vt:variant>
        <vt:i4>3</vt:i4>
      </vt:variant>
      <vt:variant>
        <vt:i4>0</vt:i4>
      </vt:variant>
      <vt:variant>
        <vt:i4>5</vt:i4>
      </vt:variant>
      <vt:variant>
        <vt:lpwstr>https://www.lancashiresafeguarding.org.uk/media/19288/executive-functioning-grab-sheet-mca-guidance_v10_apr2021.pdf</vt:lpwstr>
      </vt:variant>
      <vt:variant>
        <vt:lpwstr/>
      </vt:variant>
      <vt:variant>
        <vt:i4>4522012</vt:i4>
      </vt:variant>
      <vt:variant>
        <vt:i4>0</vt:i4>
      </vt:variant>
      <vt:variant>
        <vt:i4>0</vt:i4>
      </vt:variant>
      <vt:variant>
        <vt:i4>5</vt:i4>
      </vt:variant>
      <vt:variant>
        <vt:lpwstr>https://proceduresonline.com/trixcms1/media/13576/executive-function-practice-guidance-final.pdf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Urwin, Stacey</dc:creator>
  <cp:keywords/>
  <dc:description/>
  <cp:lastModifiedBy>Nixon, Claire</cp:lastModifiedBy>
  <cp:revision>3</cp:revision>
  <dcterms:created xsi:type="dcterms:W3CDTF">2026-04-21T08:50:00Z</dcterms:created>
  <dcterms:modified xsi:type="dcterms:W3CDTF">2026-04-21T08:51:00Z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0x010100D4260D7304BE4043BD3435C2B0FED966</vt:lpwstr>
  </property>
  <property fmtid="{D5CDD505-2E9C-101B-9397-08002B2CF9AE}" pid="3" name="MediaServiceImageTags">
    <vt:lpwstr/>
  </property>
  <property fmtid="{D5CDD505-2E9C-101B-9397-08002B2CF9AE}" pid="4" name="docLang">
    <vt:lpwstr>en</vt:lpwstr>
  </property>
</Properties>
</file>